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ADD17">
      <w:pPr>
        <w:ind w:firstLine="0" w:firstLineChars="0"/>
        <w:jc w:val="center"/>
        <w:rPr>
          <w:rFonts w:ascii="黑体" w:hAnsi="黑体" w:eastAsia="黑体"/>
          <w:sz w:val="44"/>
          <w:szCs w:val="44"/>
        </w:rPr>
      </w:pPr>
    </w:p>
    <w:p w14:paraId="64AF4C1C">
      <w:pPr>
        <w:ind w:firstLine="0" w:firstLineChars="0"/>
        <w:jc w:val="center"/>
        <w:rPr>
          <w:rFonts w:ascii="黑体" w:hAnsi="黑体" w:eastAsia="黑体"/>
          <w:sz w:val="44"/>
          <w:szCs w:val="44"/>
        </w:rPr>
      </w:pPr>
    </w:p>
    <w:p w14:paraId="793FB75F">
      <w:pPr>
        <w:ind w:firstLine="0" w:firstLineChars="0"/>
        <w:jc w:val="center"/>
        <w:rPr>
          <w:rFonts w:ascii="黑体" w:hAnsi="黑体" w:eastAsia="黑体"/>
          <w:b/>
          <w:bCs/>
          <w:sz w:val="52"/>
          <w:szCs w:val="52"/>
        </w:rPr>
      </w:pPr>
      <w:r>
        <w:rPr>
          <w:rFonts w:hint="eastAsia" w:ascii="黑体" w:hAnsi="黑体" w:eastAsia="黑体"/>
          <w:b/>
          <w:bCs/>
          <w:sz w:val="52"/>
          <w:szCs w:val="52"/>
        </w:rPr>
        <w:t>南昌县国土空间</w:t>
      </w:r>
      <w:r>
        <w:rPr>
          <w:rFonts w:ascii="黑体" w:hAnsi="黑体" w:eastAsia="黑体"/>
          <w:b/>
          <w:bCs/>
          <w:sz w:val="52"/>
          <w:szCs w:val="52"/>
        </w:rPr>
        <w:t>生态修复规划</w:t>
      </w:r>
    </w:p>
    <w:p w14:paraId="6B29BB18">
      <w:pPr>
        <w:spacing w:before="240"/>
        <w:ind w:firstLine="0" w:firstLineChars="0"/>
        <w:jc w:val="center"/>
        <w:rPr>
          <w:rFonts w:ascii="黑体" w:hAnsi="黑体" w:eastAsia="黑体"/>
          <w:b/>
          <w:bCs/>
          <w:sz w:val="52"/>
          <w:szCs w:val="28"/>
        </w:rPr>
      </w:pPr>
      <w:r>
        <w:rPr>
          <w:rFonts w:hint="eastAsia" w:ascii="黑体" w:hAnsi="黑体" w:eastAsia="黑体"/>
          <w:b/>
          <w:bCs/>
          <w:sz w:val="52"/>
          <w:szCs w:val="28"/>
        </w:rPr>
        <w:t>（2</w:t>
      </w:r>
      <w:r>
        <w:rPr>
          <w:rFonts w:ascii="黑体" w:hAnsi="黑体" w:eastAsia="黑体"/>
          <w:b/>
          <w:bCs/>
          <w:sz w:val="52"/>
          <w:szCs w:val="28"/>
        </w:rPr>
        <w:t>021-2035年</w:t>
      </w:r>
      <w:r>
        <w:rPr>
          <w:rFonts w:hint="eastAsia" w:ascii="黑体" w:hAnsi="黑体" w:eastAsia="黑体"/>
          <w:b/>
          <w:bCs/>
          <w:sz w:val="52"/>
          <w:szCs w:val="28"/>
        </w:rPr>
        <w:t>）</w:t>
      </w:r>
    </w:p>
    <w:p w14:paraId="4899B1A4">
      <w:pPr>
        <w:spacing w:before="240"/>
        <w:ind w:firstLine="0" w:firstLineChars="0"/>
        <w:jc w:val="center"/>
        <w:rPr>
          <w:rFonts w:ascii="黑体" w:hAnsi="黑体" w:eastAsia="黑体"/>
          <w:b/>
          <w:bCs/>
          <w:sz w:val="52"/>
          <w:szCs w:val="28"/>
        </w:rPr>
      </w:pPr>
    </w:p>
    <w:p w14:paraId="664B5DB3">
      <w:pPr>
        <w:spacing w:before="240"/>
        <w:ind w:firstLine="0" w:firstLineChars="0"/>
        <w:jc w:val="center"/>
        <w:rPr>
          <w:rFonts w:ascii="黑体" w:hAnsi="黑体" w:eastAsia="黑体"/>
          <w:b/>
          <w:sz w:val="44"/>
        </w:rPr>
      </w:pPr>
    </w:p>
    <w:p w14:paraId="27D6DC95">
      <w:pPr>
        <w:ind w:firstLine="0" w:firstLineChars="0"/>
        <w:jc w:val="center"/>
        <w:rPr>
          <w:b/>
          <w:sz w:val="36"/>
        </w:rPr>
      </w:pPr>
    </w:p>
    <w:p w14:paraId="5A9E9B51">
      <w:pPr>
        <w:ind w:firstLine="0" w:firstLineChars="0"/>
        <w:jc w:val="center"/>
        <w:rPr>
          <w:b/>
          <w:sz w:val="36"/>
        </w:rPr>
      </w:pPr>
    </w:p>
    <w:p w14:paraId="7FC75A34">
      <w:pPr>
        <w:ind w:firstLine="0" w:firstLineChars="0"/>
        <w:jc w:val="center"/>
        <w:rPr>
          <w:b/>
          <w:sz w:val="36"/>
        </w:rPr>
      </w:pPr>
    </w:p>
    <w:p w14:paraId="18687963">
      <w:pPr>
        <w:ind w:firstLine="0" w:firstLineChars="0"/>
        <w:jc w:val="center"/>
        <w:rPr>
          <w:b/>
          <w:sz w:val="36"/>
        </w:rPr>
      </w:pPr>
    </w:p>
    <w:p w14:paraId="238C08D2">
      <w:pPr>
        <w:ind w:firstLine="0" w:firstLineChars="0"/>
        <w:jc w:val="center"/>
        <w:rPr>
          <w:b/>
          <w:sz w:val="36"/>
        </w:rPr>
      </w:pPr>
    </w:p>
    <w:p w14:paraId="2D8693B8">
      <w:pPr>
        <w:ind w:firstLine="0" w:firstLineChars="0"/>
        <w:jc w:val="center"/>
        <w:rPr>
          <w:b/>
          <w:sz w:val="36"/>
        </w:rPr>
      </w:pPr>
    </w:p>
    <w:p w14:paraId="509C798A">
      <w:pPr>
        <w:spacing w:before="0" w:after="0"/>
        <w:ind w:firstLine="0" w:firstLineChars="0"/>
        <w:jc w:val="center"/>
        <w:rPr>
          <w:rFonts w:ascii="黑体" w:hAnsi="黑体" w:eastAsia="黑体"/>
          <w:bCs/>
          <w:sz w:val="36"/>
          <w:szCs w:val="36"/>
        </w:rPr>
      </w:pPr>
      <w:r>
        <w:rPr>
          <w:rFonts w:hint="eastAsia" w:ascii="黑体" w:hAnsi="黑体" w:eastAsia="黑体"/>
          <w:bCs/>
          <w:sz w:val="36"/>
          <w:szCs w:val="36"/>
        </w:rPr>
        <w:t>南昌县自然资源和规划局</w:t>
      </w:r>
    </w:p>
    <w:p w14:paraId="1C82A49E">
      <w:pPr>
        <w:spacing w:before="0" w:after="0"/>
        <w:ind w:firstLine="0" w:firstLineChars="0"/>
        <w:jc w:val="center"/>
        <w:rPr>
          <w:rFonts w:ascii="黑体" w:hAnsi="黑体" w:eastAsia="黑体"/>
          <w:bCs/>
          <w:sz w:val="36"/>
          <w:szCs w:val="36"/>
        </w:rPr>
      </w:pPr>
      <w:r>
        <w:rPr>
          <w:rFonts w:hint="eastAsia" w:ascii="黑体" w:hAnsi="黑体" w:eastAsia="黑体"/>
          <w:bCs/>
          <w:sz w:val="36"/>
          <w:szCs w:val="36"/>
        </w:rPr>
        <w:t>二〇二三年</w:t>
      </w:r>
      <w:r>
        <w:rPr>
          <w:rFonts w:hint="eastAsia" w:ascii="黑体" w:hAnsi="黑体" w:eastAsia="黑体"/>
          <w:bCs/>
          <w:sz w:val="36"/>
          <w:szCs w:val="36"/>
          <w:lang w:val="en-US" w:eastAsia="zh-CN"/>
        </w:rPr>
        <w:t>八</w:t>
      </w:r>
      <w:r>
        <w:rPr>
          <w:rFonts w:hint="eastAsia" w:ascii="黑体" w:hAnsi="黑体" w:eastAsia="黑体"/>
          <w:bCs/>
          <w:sz w:val="36"/>
          <w:szCs w:val="36"/>
        </w:rPr>
        <w:t>月</w:t>
      </w:r>
    </w:p>
    <w:p w14:paraId="160B81EC">
      <w:pPr>
        <w:spacing w:before="0" w:after="0"/>
        <w:ind w:firstLine="0" w:firstLineChars="0"/>
        <w:jc w:val="center"/>
        <w:rPr>
          <w:rFonts w:ascii="黑体" w:hAnsi="黑体" w:eastAsia="黑体"/>
          <w:bCs/>
          <w:sz w:val="36"/>
          <w:szCs w:val="36"/>
        </w:rPr>
      </w:pPr>
    </w:p>
    <w:p w14:paraId="4539EE79">
      <w:pPr>
        <w:spacing w:before="0" w:after="0"/>
        <w:ind w:firstLine="0" w:firstLineChars="0"/>
        <w:jc w:val="center"/>
        <w:rPr>
          <w:rFonts w:ascii="黑体" w:hAnsi="黑体" w:eastAsia="黑体"/>
          <w:sz w:val="32"/>
          <w:szCs w:val="32"/>
        </w:rPr>
      </w:pPr>
      <w:r>
        <w:rPr>
          <w:rFonts w:hint="eastAsia" w:ascii="黑体" w:hAnsi="黑体" w:eastAsia="黑体"/>
          <w:sz w:val="32"/>
          <w:szCs w:val="32"/>
        </w:rPr>
        <w:t>南昌县国土空间</w:t>
      </w:r>
      <w:r>
        <w:rPr>
          <w:rFonts w:ascii="黑体" w:hAnsi="黑体" w:eastAsia="黑体"/>
          <w:sz w:val="32"/>
          <w:szCs w:val="32"/>
        </w:rPr>
        <w:t>生态修复规划</w:t>
      </w:r>
    </w:p>
    <w:p w14:paraId="78140E49">
      <w:pPr>
        <w:spacing w:before="0" w:after="0"/>
        <w:ind w:firstLine="0" w:firstLineChars="0"/>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021-2035年</w:t>
      </w:r>
      <w:r>
        <w:rPr>
          <w:rFonts w:hint="eastAsia" w:ascii="黑体" w:hAnsi="黑体" w:eastAsia="黑体"/>
          <w:sz w:val="32"/>
          <w:szCs w:val="32"/>
        </w:rPr>
        <w:t>）</w:t>
      </w:r>
    </w:p>
    <w:p w14:paraId="02B3C2C6">
      <w:pPr>
        <w:widowControl/>
        <w:adjustRightInd w:val="0"/>
        <w:snapToGrid w:val="0"/>
        <w:spacing w:before="381" w:beforeLines="100" w:after="381" w:afterLines="100"/>
        <w:ind w:firstLine="560"/>
        <w:jc w:val="left"/>
        <w:rPr>
          <w:rFonts w:ascii="Tahoma" w:hAnsi="Tahoma"/>
          <w:kern w:val="0"/>
          <w:szCs w:val="28"/>
        </w:rPr>
      </w:pPr>
    </w:p>
    <w:p w14:paraId="44D9FFCC">
      <w:pPr>
        <w:widowControl/>
        <w:adjustRightInd w:val="0"/>
        <w:snapToGrid w:val="0"/>
        <w:spacing w:before="0" w:after="0"/>
        <w:ind w:firstLine="560"/>
        <w:jc w:val="left"/>
        <w:rPr>
          <w:rFonts w:ascii="Tahoma" w:hAnsi="Tahoma"/>
          <w:kern w:val="0"/>
          <w:szCs w:val="28"/>
        </w:rPr>
      </w:pPr>
      <w:r>
        <w:rPr>
          <w:rFonts w:hint="eastAsia" w:ascii="Tahoma" w:hAnsi="Tahoma"/>
          <w:kern w:val="0"/>
          <w:szCs w:val="28"/>
        </w:rPr>
        <w:t>编 制 单 位：南昌县人民政府</w:t>
      </w:r>
    </w:p>
    <w:p w14:paraId="5B35A24E">
      <w:pPr>
        <w:widowControl/>
        <w:adjustRightInd w:val="0"/>
        <w:snapToGrid w:val="0"/>
        <w:spacing w:before="0" w:after="0"/>
        <w:ind w:firstLine="560"/>
        <w:jc w:val="left"/>
        <w:rPr>
          <w:rFonts w:ascii="Tahoma" w:hAnsi="Tahoma"/>
          <w:kern w:val="0"/>
          <w:szCs w:val="28"/>
        </w:rPr>
      </w:pPr>
    </w:p>
    <w:p w14:paraId="09496E71">
      <w:pPr>
        <w:widowControl/>
        <w:adjustRightInd w:val="0"/>
        <w:snapToGrid w:val="0"/>
        <w:spacing w:before="0" w:after="0"/>
        <w:ind w:firstLine="560"/>
        <w:jc w:val="left"/>
        <w:rPr>
          <w:rFonts w:ascii="Tahoma" w:hAnsi="Tahoma"/>
          <w:kern w:val="0"/>
          <w:szCs w:val="28"/>
        </w:rPr>
      </w:pPr>
    </w:p>
    <w:p w14:paraId="444AB700">
      <w:pPr>
        <w:widowControl/>
        <w:adjustRightInd w:val="0"/>
        <w:snapToGrid w:val="0"/>
        <w:spacing w:before="0" w:after="0"/>
        <w:ind w:firstLine="560"/>
        <w:jc w:val="left"/>
        <w:rPr>
          <w:rFonts w:ascii="Tahoma" w:hAnsi="Tahoma"/>
          <w:kern w:val="0"/>
          <w:szCs w:val="28"/>
        </w:rPr>
      </w:pPr>
      <w:r>
        <w:rPr>
          <w:rFonts w:hint="eastAsia" w:ascii="Tahoma" w:hAnsi="Tahoma"/>
          <w:kern w:val="0"/>
          <w:szCs w:val="28"/>
        </w:rPr>
        <w:t>承 担 单 位：南昌县自然资源和规划局</w:t>
      </w:r>
    </w:p>
    <w:p w14:paraId="53B6AE19">
      <w:pPr>
        <w:widowControl/>
        <w:adjustRightInd w:val="0"/>
        <w:snapToGrid w:val="0"/>
        <w:spacing w:before="0" w:after="0"/>
        <w:ind w:firstLine="560"/>
        <w:jc w:val="left"/>
        <w:rPr>
          <w:rFonts w:ascii="Tahoma" w:hAnsi="Tahoma"/>
          <w:kern w:val="0"/>
          <w:szCs w:val="28"/>
        </w:rPr>
      </w:pPr>
    </w:p>
    <w:p w14:paraId="7B6170A8">
      <w:pPr>
        <w:widowControl/>
        <w:adjustRightInd w:val="0"/>
        <w:snapToGrid w:val="0"/>
        <w:spacing w:before="190" w:beforeLines="50" w:after="190" w:afterLines="50"/>
        <w:ind w:firstLine="560"/>
        <w:jc w:val="left"/>
        <w:rPr>
          <w:rFonts w:ascii="Tahoma" w:hAnsi="Tahoma"/>
          <w:kern w:val="0"/>
          <w:szCs w:val="28"/>
        </w:rPr>
      </w:pPr>
    </w:p>
    <w:p w14:paraId="03A0203B">
      <w:pPr>
        <w:widowControl/>
        <w:adjustRightInd w:val="0"/>
        <w:snapToGrid w:val="0"/>
        <w:spacing w:before="190" w:beforeLines="50" w:after="190" w:afterLines="50"/>
        <w:ind w:firstLine="560"/>
        <w:jc w:val="left"/>
        <w:rPr>
          <w:rFonts w:ascii="Tahoma" w:hAnsi="Tahoma"/>
          <w:kern w:val="0"/>
          <w:szCs w:val="28"/>
        </w:rPr>
      </w:pPr>
      <w:r>
        <w:rPr>
          <w:rFonts w:ascii="Tahoma" w:hAnsi="Tahoma"/>
          <w:kern w:val="0"/>
          <w:szCs w:val="28"/>
        </w:rPr>
        <w:t>技术</w:t>
      </w:r>
      <w:r>
        <w:rPr>
          <w:rFonts w:hint="eastAsia" w:ascii="Tahoma" w:hAnsi="Tahoma"/>
          <w:kern w:val="0"/>
          <w:szCs w:val="28"/>
        </w:rPr>
        <w:t>承担</w:t>
      </w:r>
      <w:r>
        <w:rPr>
          <w:rFonts w:ascii="Tahoma" w:hAnsi="Tahoma"/>
          <w:kern w:val="0"/>
          <w:szCs w:val="28"/>
        </w:rPr>
        <w:t>单位：</w:t>
      </w:r>
      <w:r>
        <w:rPr>
          <w:rFonts w:hint="eastAsia" w:ascii="Tahoma" w:hAnsi="Tahoma"/>
          <w:kern w:val="0"/>
          <w:szCs w:val="28"/>
        </w:rPr>
        <w:t>时空云科技有限公司</w:t>
      </w:r>
    </w:p>
    <w:p w14:paraId="2DF64CBA">
      <w:pPr>
        <w:widowControl/>
        <w:adjustRightInd w:val="0"/>
        <w:snapToGrid w:val="0"/>
        <w:spacing w:before="190" w:beforeLines="50" w:after="190" w:afterLines="50"/>
        <w:ind w:firstLine="560"/>
        <w:jc w:val="left"/>
        <w:rPr>
          <w:rFonts w:ascii="Tahoma" w:hAnsi="Tahoma"/>
          <w:kern w:val="0"/>
        </w:rPr>
      </w:pPr>
      <w:r>
        <w:rPr>
          <w:rFonts w:hint="eastAsia" w:ascii="Tahoma" w:hAnsi="Tahoma"/>
          <w:kern w:val="0"/>
        </w:rPr>
        <w:t xml:space="preserve">核 </w:t>
      </w:r>
      <w:r>
        <w:rPr>
          <w:rFonts w:ascii="Tahoma" w:hAnsi="Tahoma"/>
          <w:kern w:val="0"/>
        </w:rPr>
        <w:t xml:space="preserve">   </w:t>
      </w:r>
      <w:r>
        <w:rPr>
          <w:rFonts w:hint="eastAsia" w:ascii="Tahoma" w:hAnsi="Tahoma"/>
          <w:kern w:val="0"/>
        </w:rPr>
        <w:t xml:space="preserve">定： </w:t>
      </w:r>
      <w:r>
        <w:rPr>
          <w:rFonts w:ascii="Tahoma" w:hAnsi="Tahoma"/>
          <w:kern w:val="0"/>
        </w:rPr>
        <w:t xml:space="preserve">    </w:t>
      </w:r>
      <w:r>
        <w:rPr>
          <w:rFonts w:hint="eastAsia" w:ascii="Tahoma" w:hAnsi="Tahoma"/>
          <w:kern w:val="0"/>
        </w:rPr>
        <w:t>聂 兵 兵</w:t>
      </w:r>
    </w:p>
    <w:p w14:paraId="502BB3ED">
      <w:pPr>
        <w:widowControl/>
        <w:adjustRightInd w:val="0"/>
        <w:snapToGrid w:val="0"/>
        <w:spacing w:before="190" w:beforeLines="50" w:after="190" w:afterLines="50"/>
        <w:ind w:firstLine="560"/>
        <w:jc w:val="left"/>
        <w:rPr>
          <w:rFonts w:ascii="Tahoma" w:hAnsi="Tahoma"/>
          <w:kern w:val="0"/>
        </w:rPr>
      </w:pPr>
      <w:r>
        <w:rPr>
          <w:rFonts w:hint="eastAsia" w:ascii="Tahoma" w:hAnsi="Tahoma"/>
          <w:kern w:val="0"/>
        </w:rPr>
        <w:t xml:space="preserve">审 </w:t>
      </w:r>
      <w:r>
        <w:rPr>
          <w:rFonts w:ascii="Tahoma" w:hAnsi="Tahoma"/>
          <w:kern w:val="0"/>
        </w:rPr>
        <w:t xml:space="preserve">   </w:t>
      </w:r>
      <w:r>
        <w:rPr>
          <w:rFonts w:hint="eastAsia" w:ascii="Tahoma" w:hAnsi="Tahoma"/>
          <w:kern w:val="0"/>
        </w:rPr>
        <w:t xml:space="preserve">定： </w:t>
      </w:r>
      <w:r>
        <w:rPr>
          <w:rFonts w:ascii="Tahoma" w:hAnsi="Tahoma"/>
          <w:kern w:val="0"/>
        </w:rPr>
        <w:t xml:space="preserve">    </w:t>
      </w:r>
      <w:r>
        <w:rPr>
          <w:rFonts w:hint="eastAsia" w:ascii="Tahoma" w:hAnsi="Tahoma"/>
          <w:kern w:val="0"/>
        </w:rPr>
        <w:t>黄 小 华</w:t>
      </w:r>
    </w:p>
    <w:p w14:paraId="577A6FFB">
      <w:pPr>
        <w:widowControl/>
        <w:adjustRightInd w:val="0"/>
        <w:snapToGrid w:val="0"/>
        <w:spacing w:before="190" w:beforeLines="50" w:after="190" w:afterLines="50"/>
        <w:ind w:firstLine="560"/>
        <w:jc w:val="left"/>
        <w:rPr>
          <w:rFonts w:ascii="Tahoma" w:hAnsi="Tahoma"/>
          <w:kern w:val="0"/>
        </w:rPr>
      </w:pPr>
      <w:r>
        <w:rPr>
          <w:rFonts w:ascii="Tahoma" w:hAnsi="Tahoma"/>
          <w:kern w:val="0"/>
        </w:rPr>
        <w:t>负</w:t>
      </w:r>
      <w:r>
        <w:rPr>
          <w:rFonts w:hint="eastAsia" w:ascii="Tahoma" w:hAnsi="Tahoma"/>
          <w:kern w:val="0"/>
        </w:rPr>
        <w:t xml:space="preserve"> </w:t>
      </w:r>
      <w:r>
        <w:rPr>
          <w:rFonts w:ascii="Tahoma" w:hAnsi="Tahoma"/>
          <w:kern w:val="0"/>
        </w:rPr>
        <w:t>责</w:t>
      </w:r>
      <w:r>
        <w:rPr>
          <w:rFonts w:hint="eastAsia" w:ascii="Tahoma" w:hAnsi="Tahoma"/>
          <w:kern w:val="0"/>
        </w:rPr>
        <w:t xml:space="preserve"> </w:t>
      </w:r>
      <w:r>
        <w:rPr>
          <w:rFonts w:ascii="Tahoma" w:hAnsi="Tahoma"/>
          <w:kern w:val="0"/>
        </w:rPr>
        <w:t xml:space="preserve">人：    </w:t>
      </w:r>
      <w:r>
        <w:rPr>
          <w:rFonts w:hint="eastAsia" w:ascii="Tahoma" w:hAnsi="Tahoma"/>
          <w:kern w:val="0"/>
        </w:rPr>
        <w:t xml:space="preserve">钟 </w:t>
      </w:r>
      <w:r>
        <w:rPr>
          <w:rFonts w:ascii="Tahoma" w:hAnsi="Tahoma"/>
          <w:kern w:val="0"/>
        </w:rPr>
        <w:t xml:space="preserve">    </w:t>
      </w:r>
      <w:r>
        <w:rPr>
          <w:rFonts w:hint="eastAsia" w:ascii="Tahoma" w:hAnsi="Tahoma"/>
          <w:kern w:val="0"/>
        </w:rPr>
        <w:t>诚</w:t>
      </w:r>
    </w:p>
    <w:p w14:paraId="46F2E784">
      <w:pPr>
        <w:widowControl/>
        <w:adjustRightInd w:val="0"/>
        <w:snapToGrid w:val="0"/>
        <w:spacing w:before="190" w:beforeLines="50" w:after="190" w:afterLines="50"/>
        <w:ind w:firstLine="560"/>
        <w:jc w:val="left"/>
        <w:rPr>
          <w:rFonts w:ascii="Tahoma" w:hAnsi="Tahoma"/>
          <w:kern w:val="0"/>
        </w:rPr>
      </w:pPr>
      <w:r>
        <w:rPr>
          <w:rFonts w:hint="eastAsia" w:ascii="Tahoma" w:hAnsi="Tahoma"/>
          <w:kern w:val="0"/>
        </w:rPr>
        <w:t>文本编制</w:t>
      </w:r>
      <w:r>
        <w:rPr>
          <w:rFonts w:ascii="Tahoma" w:hAnsi="Tahoma"/>
          <w:kern w:val="0"/>
        </w:rPr>
        <w:t>：</w:t>
      </w:r>
      <w:r>
        <w:rPr>
          <w:rFonts w:hint="eastAsia" w:ascii="Tahoma" w:hAnsi="Tahoma"/>
          <w:kern w:val="0"/>
        </w:rPr>
        <w:t xml:space="preserve"> </w:t>
      </w:r>
      <w:r>
        <w:rPr>
          <w:rFonts w:ascii="Tahoma" w:hAnsi="Tahoma"/>
          <w:kern w:val="0"/>
        </w:rPr>
        <w:t xml:space="preserve">  </w:t>
      </w:r>
      <w:r>
        <w:rPr>
          <w:rFonts w:hint="eastAsia" w:ascii="Tahoma" w:hAnsi="Tahoma"/>
          <w:kern w:val="0"/>
        </w:rPr>
        <w:t xml:space="preserve">杨 学 龙 </w:t>
      </w:r>
      <w:r>
        <w:rPr>
          <w:rFonts w:ascii="Tahoma" w:hAnsi="Tahoma"/>
          <w:kern w:val="0"/>
        </w:rPr>
        <w:t xml:space="preserve">     </w:t>
      </w:r>
      <w:r>
        <w:rPr>
          <w:rFonts w:hint="eastAsia" w:ascii="Tahoma" w:hAnsi="Tahoma"/>
          <w:kern w:val="0"/>
        </w:rPr>
        <w:t xml:space="preserve">苏 </w:t>
      </w:r>
      <w:r>
        <w:rPr>
          <w:rFonts w:ascii="Tahoma" w:hAnsi="Tahoma"/>
          <w:kern w:val="0"/>
        </w:rPr>
        <w:t xml:space="preserve">    </w:t>
      </w:r>
      <w:r>
        <w:rPr>
          <w:rFonts w:hint="eastAsia" w:ascii="Tahoma" w:hAnsi="Tahoma"/>
          <w:kern w:val="0"/>
        </w:rPr>
        <w:t>磊</w:t>
      </w:r>
    </w:p>
    <w:p w14:paraId="1241A8E3">
      <w:pPr>
        <w:widowControl/>
        <w:adjustRightInd w:val="0"/>
        <w:snapToGrid w:val="0"/>
        <w:spacing w:before="190" w:beforeLines="50" w:after="190" w:afterLines="50"/>
        <w:ind w:firstLine="2212" w:firstLineChars="790"/>
        <w:jc w:val="left"/>
        <w:rPr>
          <w:rFonts w:ascii="Tahoma" w:hAnsi="Tahoma"/>
          <w:kern w:val="0"/>
        </w:rPr>
      </w:pPr>
      <w:r>
        <w:rPr>
          <w:rFonts w:hint="eastAsia" w:ascii="Tahoma" w:hAnsi="Tahoma"/>
          <w:kern w:val="0"/>
        </w:rPr>
        <w:t xml:space="preserve">石 </w:t>
      </w:r>
      <w:r>
        <w:rPr>
          <w:rFonts w:ascii="Tahoma" w:hAnsi="Tahoma"/>
          <w:kern w:val="0"/>
        </w:rPr>
        <w:t xml:space="preserve">    </w:t>
      </w:r>
      <w:r>
        <w:rPr>
          <w:rFonts w:hint="eastAsia" w:ascii="Tahoma" w:hAnsi="Tahoma"/>
          <w:kern w:val="0"/>
        </w:rPr>
        <w:t xml:space="preserve">聪 </w:t>
      </w:r>
      <w:r>
        <w:rPr>
          <w:rFonts w:ascii="Tahoma" w:hAnsi="Tahoma"/>
          <w:kern w:val="0"/>
        </w:rPr>
        <w:t xml:space="preserve">     </w:t>
      </w:r>
      <w:r>
        <w:rPr>
          <w:rFonts w:hint="eastAsia" w:ascii="Tahoma" w:hAnsi="Tahoma"/>
          <w:kern w:val="0"/>
        </w:rPr>
        <w:t xml:space="preserve">罗 </w:t>
      </w:r>
      <w:r>
        <w:rPr>
          <w:rFonts w:ascii="Tahoma" w:hAnsi="Tahoma"/>
          <w:kern w:val="0"/>
        </w:rPr>
        <w:t xml:space="preserve">    </w:t>
      </w:r>
      <w:r>
        <w:rPr>
          <w:rFonts w:hint="eastAsia" w:ascii="Tahoma" w:hAnsi="Tahoma"/>
          <w:kern w:val="0"/>
        </w:rPr>
        <w:t>勤</w:t>
      </w:r>
    </w:p>
    <w:p w14:paraId="07603033">
      <w:pPr>
        <w:widowControl/>
        <w:adjustRightInd w:val="0"/>
        <w:snapToGrid w:val="0"/>
        <w:spacing w:before="190" w:beforeLines="50" w:after="190" w:afterLines="50"/>
        <w:ind w:firstLine="560"/>
        <w:jc w:val="left"/>
        <w:rPr>
          <w:rFonts w:ascii="Tahoma" w:hAnsi="Tahoma"/>
          <w:kern w:val="0"/>
        </w:rPr>
      </w:pPr>
      <w:r>
        <w:rPr>
          <w:rFonts w:ascii="Tahoma" w:hAnsi="Tahoma"/>
          <w:kern w:val="0"/>
        </w:rPr>
        <w:t>图件编制：</w:t>
      </w:r>
      <w:r>
        <w:rPr>
          <w:rFonts w:hint="eastAsia" w:ascii="Tahoma" w:hAnsi="Tahoma"/>
          <w:kern w:val="0"/>
        </w:rPr>
        <w:t xml:space="preserve"> </w:t>
      </w:r>
      <w:r>
        <w:rPr>
          <w:rFonts w:ascii="Tahoma" w:hAnsi="Tahoma"/>
          <w:kern w:val="0"/>
        </w:rPr>
        <w:t xml:space="preserve">  </w:t>
      </w:r>
      <w:r>
        <w:rPr>
          <w:rFonts w:hint="eastAsia" w:ascii="Tahoma" w:hAnsi="Tahoma"/>
          <w:kern w:val="0"/>
        </w:rPr>
        <w:t xml:space="preserve">肖 </w:t>
      </w:r>
      <w:r>
        <w:rPr>
          <w:rFonts w:ascii="Tahoma" w:hAnsi="Tahoma"/>
          <w:kern w:val="0"/>
        </w:rPr>
        <w:t xml:space="preserve">    </w:t>
      </w:r>
      <w:r>
        <w:rPr>
          <w:rFonts w:hint="eastAsia" w:ascii="Tahoma" w:hAnsi="Tahoma"/>
          <w:kern w:val="0"/>
        </w:rPr>
        <w:t xml:space="preserve">盼 </w:t>
      </w:r>
      <w:r>
        <w:rPr>
          <w:rFonts w:ascii="Tahoma" w:hAnsi="Tahoma"/>
          <w:kern w:val="0"/>
        </w:rPr>
        <w:t xml:space="preserve">     </w:t>
      </w:r>
    </w:p>
    <w:p w14:paraId="77D08D5F">
      <w:pPr>
        <w:spacing w:before="0" w:after="0"/>
        <w:ind w:firstLine="0" w:firstLineChars="0"/>
        <w:jc w:val="center"/>
        <w:rPr>
          <w:rFonts w:ascii="黑体" w:hAnsi="黑体" w:eastAsia="黑体"/>
          <w:bCs/>
          <w:sz w:val="36"/>
          <w:szCs w:val="36"/>
        </w:rPr>
      </w:pPr>
    </w:p>
    <w:p w14:paraId="7302E125">
      <w:pPr>
        <w:spacing w:before="0" w:after="0"/>
        <w:ind w:firstLine="0" w:firstLineChars="0"/>
        <w:jc w:val="center"/>
        <w:rPr>
          <w:rFonts w:ascii="黑体" w:hAnsi="黑体" w:eastAsia="黑体"/>
          <w:bCs/>
          <w:sz w:val="36"/>
          <w:szCs w:val="36"/>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567" w:gutter="0"/>
          <w:pgNumType w:fmt="upperRoman" w:start="1"/>
          <w:cols w:space="720" w:num="1"/>
          <w:titlePg/>
          <w:docGrid w:type="lines" w:linePitch="381" w:charSpace="0"/>
        </w:sectPr>
      </w:pPr>
    </w:p>
    <w:p w14:paraId="7757CFED">
      <w:pPr>
        <w:spacing w:before="240" w:after="240" w:line="578" w:lineRule="auto"/>
        <w:ind w:firstLine="0" w:firstLineChars="0"/>
        <w:jc w:val="center"/>
        <w:outlineLvl w:val="0"/>
        <w:rPr>
          <w:rFonts w:ascii="黑体" w:hAnsi="黑体" w:eastAsia="黑体"/>
          <w:b/>
          <w:bCs/>
          <w:kern w:val="44"/>
          <w:sz w:val="36"/>
          <w:szCs w:val="36"/>
        </w:rPr>
      </w:pPr>
      <w:bookmarkStart w:id="0" w:name="_Toc129159242"/>
      <w:bookmarkStart w:id="1" w:name="_Toc131005103"/>
      <w:bookmarkStart w:id="2" w:name="_Toc127908931"/>
      <w:r>
        <w:rPr>
          <w:rFonts w:ascii="黑体" w:hAnsi="黑体" w:eastAsia="黑体"/>
          <w:b/>
          <w:bCs/>
          <w:kern w:val="44"/>
          <w:sz w:val="36"/>
          <w:szCs w:val="36"/>
        </w:rPr>
        <w:t>前</w:t>
      </w:r>
      <w:r>
        <w:rPr>
          <w:rFonts w:hint="eastAsia" w:ascii="黑体" w:hAnsi="黑体" w:eastAsia="黑体"/>
          <w:b/>
          <w:bCs/>
          <w:kern w:val="44"/>
          <w:sz w:val="36"/>
          <w:szCs w:val="36"/>
        </w:rPr>
        <w:t xml:space="preserve"> </w:t>
      </w:r>
      <w:r>
        <w:rPr>
          <w:rFonts w:ascii="黑体" w:hAnsi="黑体" w:eastAsia="黑体"/>
          <w:b/>
          <w:bCs/>
          <w:kern w:val="44"/>
          <w:sz w:val="36"/>
          <w:szCs w:val="36"/>
        </w:rPr>
        <w:t xml:space="preserve"> 言</w:t>
      </w:r>
      <w:bookmarkEnd w:id="0"/>
      <w:bookmarkEnd w:id="1"/>
      <w:bookmarkEnd w:id="2"/>
    </w:p>
    <w:p w14:paraId="09E60EE5">
      <w:pPr>
        <w:spacing w:before="0" w:after="0"/>
        <w:ind w:firstLine="560"/>
        <w:rPr>
          <w:szCs w:val="28"/>
        </w:rPr>
      </w:pPr>
      <w:r>
        <w:rPr>
          <w:rFonts w:hint="eastAsia"/>
          <w:szCs w:val="28"/>
        </w:rPr>
        <w:t>党的十八大以来，以习近平同志为核心的党中央站在中华民族永续发展的战略高度，作出了加强生态文明建设的重大决策部署。</w:t>
      </w:r>
      <w:r>
        <w:rPr>
          <w:szCs w:val="28"/>
        </w:rPr>
        <w:t>党的二十大报告指出，尊重自然、顺应自然、保护自然，是全面建设社会主义现代化国家的内在要求</w:t>
      </w:r>
      <w:r>
        <w:rPr>
          <w:rFonts w:hint="eastAsia"/>
          <w:szCs w:val="28"/>
        </w:rPr>
        <w:t>，要</w:t>
      </w:r>
      <w:r>
        <w:rPr>
          <w:szCs w:val="28"/>
        </w:rPr>
        <w:t>坚持山水林田湖草沙一体化保护和系统治理</w:t>
      </w:r>
      <w:r>
        <w:rPr>
          <w:rFonts w:hint="eastAsia"/>
          <w:szCs w:val="28"/>
        </w:rPr>
        <w:t>，</w:t>
      </w:r>
      <w:r>
        <w:rPr>
          <w:szCs w:val="28"/>
        </w:rPr>
        <w:t>促进人与自然和谐共生、建设美丽中国</w:t>
      </w:r>
      <w:r>
        <w:rPr>
          <w:rFonts w:hint="eastAsia"/>
          <w:szCs w:val="28"/>
        </w:rPr>
        <w:t>。</w:t>
      </w:r>
    </w:p>
    <w:p w14:paraId="162E2FDF">
      <w:pPr>
        <w:spacing w:before="0" w:after="0"/>
        <w:ind w:firstLine="560"/>
        <w:rPr>
          <w:szCs w:val="28"/>
        </w:rPr>
      </w:pPr>
      <w:r>
        <w:rPr>
          <w:rFonts w:hint="eastAsia"/>
        </w:rPr>
        <w:t>南昌</w:t>
      </w:r>
      <w:r>
        <w:t>县</w:t>
      </w:r>
      <w:r>
        <w:rPr>
          <w:rFonts w:hint="eastAsia"/>
        </w:rPr>
        <w:t>位于</w:t>
      </w:r>
      <w:r>
        <w:rPr>
          <w:rFonts w:hint="eastAsia"/>
          <w:szCs w:val="28"/>
        </w:rPr>
        <w:t>长江中下游重要生态功能区，</w:t>
      </w:r>
      <w:r>
        <w:t>生态地位独特，生态功能突出</w:t>
      </w:r>
      <w:r>
        <w:rPr>
          <w:rFonts w:hint="eastAsia"/>
        </w:rPr>
        <w:t>，高强度的国土开发利用活动为南昌县经济社会的快速发展提供了强有力支撑，同时也给国土空间和资源环境造成了一定程度的破坏。</w:t>
      </w:r>
      <w:r>
        <w:rPr>
          <w:rFonts w:hint="eastAsia"/>
          <w:szCs w:val="28"/>
        </w:rPr>
        <w:t>为贯彻落实习近平生态文明思想和习近平总书记视察江西重要讲话精神，</w:t>
      </w:r>
      <w:r>
        <w:rPr>
          <w:szCs w:val="28"/>
        </w:rPr>
        <w:t>统筹山水林田湖草沙系统治理，改善</w:t>
      </w:r>
      <w:r>
        <w:rPr>
          <w:rFonts w:hint="eastAsia"/>
          <w:szCs w:val="28"/>
        </w:rPr>
        <w:t>南昌</w:t>
      </w:r>
      <w:r>
        <w:rPr>
          <w:szCs w:val="28"/>
        </w:rPr>
        <w:t>县生态状况，提升国土空间生态品质，</w:t>
      </w:r>
      <w:r>
        <w:rPr>
          <w:rFonts w:hint="eastAsia"/>
          <w:szCs w:val="28"/>
        </w:rPr>
        <w:t>根据《江西省自然资源厅办公室关于开展市县级国土空间生态修复规划编制工作的通知》（赣自然资办发〔</w:t>
      </w:r>
      <w:r>
        <w:rPr>
          <w:szCs w:val="28"/>
        </w:rPr>
        <w:t>2021〕67号）</w:t>
      </w:r>
      <w:r>
        <w:rPr>
          <w:rFonts w:hint="eastAsia"/>
          <w:szCs w:val="28"/>
        </w:rPr>
        <w:t>文件要求，南昌县组织编制了《南昌县国土空间生态修复规划（</w:t>
      </w:r>
      <w:r>
        <w:rPr>
          <w:szCs w:val="28"/>
        </w:rPr>
        <w:t>2021-2035</w:t>
      </w:r>
      <w:r>
        <w:rPr>
          <w:rFonts w:hint="eastAsia"/>
          <w:szCs w:val="28"/>
        </w:rPr>
        <w:t>年）》（以下简称《规划》）。</w:t>
      </w:r>
    </w:p>
    <w:p w14:paraId="7DBC9245">
      <w:pPr>
        <w:spacing w:before="0" w:after="0"/>
        <w:ind w:firstLine="560"/>
        <w:rPr>
          <w:szCs w:val="28"/>
        </w:rPr>
      </w:pPr>
      <w:r>
        <w:rPr>
          <w:rFonts w:hint="eastAsia"/>
          <w:szCs w:val="28"/>
        </w:rPr>
        <w:t>《规划》是实施生态修复、推进生态文明建设的纲领性文件之一，是对南昌县国土空间生态修复活动的统筹谋划和总体设计。</w:t>
      </w:r>
      <w:r>
        <w:rPr>
          <w:rFonts w:hint="eastAsia" w:hAnsi="仿宋"/>
          <w:szCs w:val="28"/>
        </w:rPr>
        <w:t>《规划》首先回顾和总结了“十三五”期间全县生态修复工作的成效与不足，研判了新时期生态修复的形势与要求，分析评价了南昌县生态现状，识别了存在的主要问题。其次根据《南昌市国土空间生态修复专项规划（2</w:t>
      </w:r>
      <w:r>
        <w:rPr>
          <w:rFonts w:hAnsi="仿宋"/>
          <w:szCs w:val="28"/>
        </w:rPr>
        <w:t>021-2035</w:t>
      </w:r>
      <w:r>
        <w:rPr>
          <w:rFonts w:hint="eastAsia" w:hAnsi="仿宋"/>
          <w:szCs w:val="28"/>
        </w:rPr>
        <w:t>年）》和《南昌县国土空间总体规划（2</w:t>
      </w:r>
      <w:r>
        <w:rPr>
          <w:rFonts w:hAnsi="仿宋"/>
          <w:szCs w:val="28"/>
        </w:rPr>
        <w:t>021-2035</w:t>
      </w:r>
      <w:r>
        <w:rPr>
          <w:rFonts w:hint="eastAsia" w:hAnsi="仿宋"/>
          <w:szCs w:val="28"/>
        </w:rPr>
        <w:t>年）》的总体要求，提出南昌县国土空间生态修复的指导思想、基本原则及目标任务，围绕南昌县生态核心问题，确定了国土空间生态修复总体格局，明确了生态保护修复重点区域和重大工程，并提出规划实施的保障措施。</w:t>
      </w:r>
    </w:p>
    <w:p w14:paraId="2FE6FB9D">
      <w:pPr>
        <w:spacing w:before="0" w:after="0"/>
        <w:ind w:firstLine="560"/>
        <w:rPr>
          <w:rFonts w:hAnsi="仿宋"/>
          <w:szCs w:val="28"/>
        </w:rPr>
      </w:pPr>
      <w:r>
        <w:rPr>
          <w:rFonts w:hint="eastAsia" w:hAnsi="仿宋"/>
          <w:szCs w:val="28"/>
        </w:rPr>
        <w:t>《规划》实施期限</w:t>
      </w:r>
      <w:r>
        <w:rPr>
          <w:rFonts w:hAnsi="仿宋"/>
          <w:szCs w:val="28"/>
        </w:rPr>
        <w:t>为2021-2035年</w:t>
      </w:r>
      <w:r>
        <w:rPr>
          <w:rFonts w:hint="eastAsia" w:hAnsi="仿宋"/>
          <w:szCs w:val="28"/>
        </w:rPr>
        <w:t>，基准年为</w:t>
      </w:r>
      <w:r>
        <w:rPr>
          <w:rFonts w:hAnsi="仿宋"/>
          <w:szCs w:val="28"/>
        </w:rPr>
        <w:t>2020年，近期目标年为2025年，远期目标年为2035年。</w:t>
      </w:r>
      <w:r>
        <w:rPr>
          <w:rFonts w:hint="eastAsia" w:hAnsi="仿宋"/>
          <w:szCs w:val="28"/>
        </w:rPr>
        <w:t>《规划》</w:t>
      </w:r>
      <w:r>
        <w:rPr>
          <w:rFonts w:hAnsi="仿宋"/>
          <w:szCs w:val="28"/>
        </w:rPr>
        <w:t>范围</w:t>
      </w:r>
      <w:r>
        <w:rPr>
          <w:rFonts w:hint="eastAsia" w:hAnsi="仿宋"/>
          <w:szCs w:val="28"/>
        </w:rPr>
        <w:t>为南昌县行政区</w:t>
      </w:r>
      <w:r>
        <w:rPr>
          <w:rFonts w:hAnsi="仿宋"/>
          <w:szCs w:val="28"/>
        </w:rPr>
        <w:t>范围，总面积1810.94平方公里</w:t>
      </w:r>
      <w:r>
        <w:rPr>
          <w:rFonts w:hint="eastAsia" w:hAnsi="仿宋"/>
          <w:szCs w:val="28"/>
        </w:rPr>
        <w:t>。</w:t>
      </w:r>
    </w:p>
    <w:p w14:paraId="500CE068">
      <w:pPr>
        <w:spacing w:before="0" w:after="0"/>
        <w:ind w:firstLine="0" w:firstLineChars="0"/>
        <w:jc w:val="center"/>
        <w:rPr>
          <w:bCs/>
          <w:sz w:val="32"/>
        </w:rPr>
        <w:sectPr>
          <w:pgSz w:w="11906" w:h="16838"/>
          <w:pgMar w:top="1440" w:right="1797" w:bottom="1440" w:left="1797" w:header="851" w:footer="567" w:gutter="0"/>
          <w:pgNumType w:fmt="upperRoman" w:start="1"/>
          <w:cols w:space="720" w:num="1"/>
          <w:titlePg/>
          <w:docGrid w:type="lines" w:linePitch="381" w:charSpace="0"/>
        </w:sectPr>
      </w:pPr>
    </w:p>
    <w:p w14:paraId="20B70B5C">
      <w:pPr>
        <w:pStyle w:val="37"/>
        <w:spacing w:before="0" w:line="240" w:lineRule="auto"/>
        <w:jc w:val="center"/>
        <w:rPr>
          <w:color w:val="auto"/>
        </w:rPr>
      </w:pPr>
      <w:r>
        <w:rPr>
          <w:rFonts w:ascii="黑体" w:hAnsi="黑体" w:eastAsia="黑体"/>
          <w:color w:val="auto"/>
          <w:sz w:val="36"/>
          <w:szCs w:val="36"/>
          <w:lang w:val="zh-CN"/>
        </w:rPr>
        <w:t>目</w:t>
      </w:r>
      <w:r>
        <w:rPr>
          <w:rFonts w:hint="eastAsia" w:ascii="黑体" w:hAnsi="黑体" w:eastAsia="黑体"/>
          <w:color w:val="auto"/>
          <w:sz w:val="36"/>
          <w:szCs w:val="36"/>
          <w:lang w:val="zh-CN"/>
        </w:rPr>
        <w:t xml:space="preserve"> </w:t>
      </w:r>
      <w:r>
        <w:rPr>
          <w:rFonts w:ascii="黑体" w:hAnsi="黑体" w:eastAsia="黑体"/>
          <w:color w:val="auto"/>
          <w:sz w:val="36"/>
          <w:szCs w:val="36"/>
          <w:lang w:val="zh-CN"/>
        </w:rPr>
        <w:t xml:space="preserve"> 录</w:t>
      </w:r>
      <w:r>
        <w:rPr>
          <w:color w:val="auto"/>
          <w:szCs w:val="28"/>
        </w:rPr>
        <w:fldChar w:fldCharType="begin"/>
      </w:r>
      <w:r>
        <w:rPr>
          <w:color w:val="auto"/>
          <w:szCs w:val="28"/>
        </w:rPr>
        <w:instrText xml:space="preserve"> </w:instrText>
      </w:r>
      <w:r>
        <w:rPr>
          <w:rFonts w:hint="eastAsia"/>
          <w:color w:val="auto"/>
          <w:szCs w:val="28"/>
        </w:rPr>
        <w:instrText xml:space="preserve">TOC \o "1-2" \h \z \u</w:instrText>
      </w:r>
      <w:r>
        <w:rPr>
          <w:color w:val="auto"/>
          <w:szCs w:val="28"/>
        </w:rPr>
        <w:instrText xml:space="preserve"> </w:instrText>
      </w:r>
      <w:r>
        <w:rPr>
          <w:color w:val="auto"/>
          <w:szCs w:val="28"/>
        </w:rPr>
        <w:fldChar w:fldCharType="separate"/>
      </w:r>
    </w:p>
    <w:p w14:paraId="1C497DA1">
      <w:pPr>
        <w:pStyle w:val="14"/>
        <w:rPr>
          <w:rFonts w:hAnsiTheme="minorHAnsi" w:cstheme="minorBidi"/>
          <w:b w:val="0"/>
          <w:bCs w:val="0"/>
          <w:kern w:val="2"/>
          <w:sz w:val="21"/>
          <w:szCs w:val="22"/>
        </w:rPr>
      </w:pPr>
      <w:r>
        <w:fldChar w:fldCharType="begin"/>
      </w:r>
      <w:r>
        <w:instrText xml:space="preserve"> HYPERLINK \l "_Toc131005103" </w:instrText>
      </w:r>
      <w:r>
        <w:fldChar w:fldCharType="separate"/>
      </w:r>
      <w:r>
        <w:rPr>
          <w:rStyle w:val="26"/>
          <w:rFonts w:hint="eastAsia"/>
          <w:color w:val="auto"/>
        </w:rPr>
        <w:t>前  言</w:t>
      </w:r>
      <w:r>
        <w:rPr>
          <w:rFonts w:hint="eastAsia"/>
        </w:rPr>
        <w:tab/>
      </w:r>
      <w:r>
        <w:rPr>
          <w:rFonts w:hint="eastAsia"/>
        </w:rPr>
        <w:fldChar w:fldCharType="begin"/>
      </w:r>
      <w:r>
        <w:rPr>
          <w:rFonts w:hint="eastAsia"/>
        </w:rPr>
        <w:instrText xml:space="preserve"> PAGEREF _Toc131005103 \h </w:instrText>
      </w:r>
      <w:r>
        <w:rPr>
          <w:rFonts w:hint="eastAsia"/>
        </w:rPr>
        <w:fldChar w:fldCharType="separate"/>
      </w:r>
      <w:r>
        <w:t>I</w:t>
      </w:r>
      <w:r>
        <w:rPr>
          <w:rFonts w:hint="eastAsia"/>
        </w:rPr>
        <w:fldChar w:fldCharType="end"/>
      </w:r>
      <w:r>
        <w:rPr>
          <w:rFonts w:hint="eastAsia"/>
        </w:rPr>
        <w:fldChar w:fldCharType="end"/>
      </w:r>
    </w:p>
    <w:p w14:paraId="6A49ADC8">
      <w:pPr>
        <w:pStyle w:val="14"/>
        <w:rPr>
          <w:rFonts w:hAnsiTheme="minorHAnsi" w:cstheme="minorBidi"/>
          <w:b w:val="0"/>
          <w:bCs w:val="0"/>
          <w:kern w:val="2"/>
          <w:sz w:val="21"/>
          <w:szCs w:val="22"/>
        </w:rPr>
      </w:pPr>
      <w:r>
        <w:fldChar w:fldCharType="begin"/>
      </w:r>
      <w:r>
        <w:instrText xml:space="preserve"> HYPERLINK \l "_Toc131005104" </w:instrText>
      </w:r>
      <w:r>
        <w:fldChar w:fldCharType="separate"/>
      </w:r>
      <w:r>
        <w:rPr>
          <w:rStyle w:val="26"/>
          <w:rFonts w:hint="eastAsia"/>
          <w:color w:val="auto"/>
        </w:rPr>
        <w:t>第一章  面临形势</w:t>
      </w:r>
      <w:r>
        <w:rPr>
          <w:rFonts w:hint="eastAsia"/>
        </w:rPr>
        <w:tab/>
      </w:r>
      <w:r>
        <w:rPr>
          <w:rFonts w:hint="eastAsia"/>
        </w:rPr>
        <w:fldChar w:fldCharType="begin"/>
      </w:r>
      <w:r>
        <w:rPr>
          <w:rFonts w:hint="eastAsia"/>
        </w:rPr>
        <w:instrText xml:space="preserve"> PAGEREF _Toc131005104 \h </w:instrText>
      </w:r>
      <w:r>
        <w:rPr>
          <w:rFonts w:hint="eastAsia"/>
        </w:rPr>
        <w:fldChar w:fldCharType="separate"/>
      </w:r>
      <w:r>
        <w:t>1</w:t>
      </w:r>
      <w:r>
        <w:rPr>
          <w:rFonts w:hint="eastAsia"/>
        </w:rPr>
        <w:fldChar w:fldCharType="end"/>
      </w:r>
      <w:r>
        <w:rPr>
          <w:rFonts w:hint="eastAsia"/>
        </w:rPr>
        <w:fldChar w:fldCharType="end"/>
      </w:r>
    </w:p>
    <w:p w14:paraId="00A5A08C">
      <w:pPr>
        <w:pStyle w:val="17"/>
        <w:rPr>
          <w:rFonts w:hAnsiTheme="minorHAnsi" w:cstheme="minorBidi"/>
          <w:sz w:val="21"/>
          <w:szCs w:val="22"/>
        </w:rPr>
      </w:pPr>
      <w:r>
        <w:fldChar w:fldCharType="begin"/>
      </w:r>
      <w:r>
        <w:instrText xml:space="preserve"> HYPERLINK \l "_Toc131005105" </w:instrText>
      </w:r>
      <w:r>
        <w:fldChar w:fldCharType="separate"/>
      </w:r>
      <w:r>
        <w:rPr>
          <w:rStyle w:val="26"/>
          <w:rFonts w:hint="eastAsia"/>
          <w:color w:val="auto"/>
        </w:rPr>
        <w:t>第一节 形势与要求</w:t>
      </w:r>
      <w:r>
        <w:rPr>
          <w:rFonts w:hint="eastAsia"/>
        </w:rPr>
        <w:tab/>
      </w:r>
      <w:r>
        <w:rPr>
          <w:rFonts w:hint="eastAsia"/>
        </w:rPr>
        <w:fldChar w:fldCharType="begin"/>
      </w:r>
      <w:r>
        <w:rPr>
          <w:rFonts w:hint="eastAsia"/>
        </w:rPr>
        <w:instrText xml:space="preserve"> PAGEREF _Toc131005105 \h </w:instrText>
      </w:r>
      <w:r>
        <w:rPr>
          <w:rFonts w:hint="eastAsia"/>
        </w:rPr>
        <w:fldChar w:fldCharType="separate"/>
      </w:r>
      <w:r>
        <w:t>1</w:t>
      </w:r>
      <w:r>
        <w:rPr>
          <w:rFonts w:hint="eastAsia"/>
        </w:rPr>
        <w:fldChar w:fldCharType="end"/>
      </w:r>
      <w:r>
        <w:rPr>
          <w:rFonts w:hint="eastAsia"/>
        </w:rPr>
        <w:fldChar w:fldCharType="end"/>
      </w:r>
    </w:p>
    <w:p w14:paraId="435A28F5">
      <w:pPr>
        <w:pStyle w:val="17"/>
        <w:rPr>
          <w:rFonts w:hAnsiTheme="minorHAnsi" w:cstheme="minorBidi"/>
          <w:sz w:val="21"/>
          <w:szCs w:val="22"/>
        </w:rPr>
      </w:pPr>
      <w:r>
        <w:fldChar w:fldCharType="begin"/>
      </w:r>
      <w:r>
        <w:instrText xml:space="preserve"> HYPERLINK \l "_Toc131005106" </w:instrText>
      </w:r>
      <w:r>
        <w:fldChar w:fldCharType="separate"/>
      </w:r>
      <w:r>
        <w:rPr>
          <w:rStyle w:val="26"/>
          <w:rFonts w:hint="eastAsia"/>
          <w:color w:val="auto"/>
        </w:rPr>
        <w:t>第二节 生态修复工作成效</w:t>
      </w:r>
      <w:r>
        <w:rPr>
          <w:rFonts w:hint="eastAsia"/>
        </w:rPr>
        <w:tab/>
      </w:r>
      <w:r>
        <w:rPr>
          <w:rFonts w:hint="eastAsia"/>
        </w:rPr>
        <w:fldChar w:fldCharType="begin"/>
      </w:r>
      <w:r>
        <w:rPr>
          <w:rFonts w:hint="eastAsia"/>
        </w:rPr>
        <w:instrText xml:space="preserve"> PAGEREF _Toc131005106 \h </w:instrText>
      </w:r>
      <w:r>
        <w:rPr>
          <w:rFonts w:hint="eastAsia"/>
        </w:rPr>
        <w:fldChar w:fldCharType="separate"/>
      </w:r>
      <w:r>
        <w:t>2</w:t>
      </w:r>
      <w:r>
        <w:rPr>
          <w:rFonts w:hint="eastAsia"/>
        </w:rPr>
        <w:fldChar w:fldCharType="end"/>
      </w:r>
      <w:r>
        <w:rPr>
          <w:rFonts w:hint="eastAsia"/>
        </w:rPr>
        <w:fldChar w:fldCharType="end"/>
      </w:r>
    </w:p>
    <w:p w14:paraId="04496547">
      <w:pPr>
        <w:pStyle w:val="17"/>
        <w:rPr>
          <w:rFonts w:hAnsiTheme="minorHAnsi" w:cstheme="minorBidi"/>
          <w:sz w:val="21"/>
          <w:szCs w:val="22"/>
        </w:rPr>
      </w:pPr>
      <w:r>
        <w:fldChar w:fldCharType="begin"/>
      </w:r>
      <w:r>
        <w:instrText xml:space="preserve"> HYPERLINK \l "_Toc131005107" </w:instrText>
      </w:r>
      <w:r>
        <w:fldChar w:fldCharType="separate"/>
      </w:r>
      <w:r>
        <w:rPr>
          <w:rStyle w:val="26"/>
          <w:rFonts w:hint="eastAsia"/>
          <w:color w:val="auto"/>
        </w:rPr>
        <w:t>第三节 机遇与挑战</w:t>
      </w:r>
      <w:r>
        <w:rPr>
          <w:rFonts w:hint="eastAsia"/>
        </w:rPr>
        <w:tab/>
      </w:r>
      <w:r>
        <w:rPr>
          <w:rFonts w:hint="eastAsia"/>
        </w:rPr>
        <w:fldChar w:fldCharType="begin"/>
      </w:r>
      <w:r>
        <w:rPr>
          <w:rFonts w:hint="eastAsia"/>
        </w:rPr>
        <w:instrText xml:space="preserve"> PAGEREF _Toc131005107 \h </w:instrText>
      </w:r>
      <w:r>
        <w:rPr>
          <w:rFonts w:hint="eastAsia"/>
        </w:rPr>
        <w:fldChar w:fldCharType="separate"/>
      </w:r>
      <w:r>
        <w:t>5</w:t>
      </w:r>
      <w:r>
        <w:rPr>
          <w:rFonts w:hint="eastAsia"/>
        </w:rPr>
        <w:fldChar w:fldCharType="end"/>
      </w:r>
      <w:r>
        <w:rPr>
          <w:rFonts w:hint="eastAsia"/>
        </w:rPr>
        <w:fldChar w:fldCharType="end"/>
      </w:r>
    </w:p>
    <w:p w14:paraId="444A271D">
      <w:pPr>
        <w:pStyle w:val="14"/>
        <w:rPr>
          <w:rFonts w:hAnsiTheme="minorHAnsi" w:cstheme="minorBidi"/>
          <w:b w:val="0"/>
          <w:bCs w:val="0"/>
          <w:kern w:val="2"/>
          <w:sz w:val="21"/>
          <w:szCs w:val="22"/>
        </w:rPr>
      </w:pPr>
      <w:r>
        <w:fldChar w:fldCharType="begin"/>
      </w:r>
      <w:r>
        <w:instrText xml:space="preserve"> HYPERLINK \l "_Toc131005108" </w:instrText>
      </w:r>
      <w:r>
        <w:fldChar w:fldCharType="separate"/>
      </w:r>
      <w:r>
        <w:rPr>
          <w:rStyle w:val="26"/>
          <w:rFonts w:hint="eastAsia"/>
          <w:color w:val="auto"/>
        </w:rPr>
        <w:t>第二章  生态现状与主要问题</w:t>
      </w:r>
      <w:r>
        <w:rPr>
          <w:rFonts w:hint="eastAsia"/>
        </w:rPr>
        <w:tab/>
      </w:r>
      <w:r>
        <w:rPr>
          <w:rFonts w:hint="eastAsia"/>
        </w:rPr>
        <w:fldChar w:fldCharType="begin"/>
      </w:r>
      <w:r>
        <w:rPr>
          <w:rFonts w:hint="eastAsia"/>
        </w:rPr>
        <w:instrText xml:space="preserve"> PAGEREF _Toc131005108 \h </w:instrText>
      </w:r>
      <w:r>
        <w:rPr>
          <w:rFonts w:hint="eastAsia"/>
        </w:rPr>
        <w:fldChar w:fldCharType="separate"/>
      </w:r>
      <w:r>
        <w:t>9</w:t>
      </w:r>
      <w:r>
        <w:rPr>
          <w:rFonts w:hint="eastAsia"/>
        </w:rPr>
        <w:fldChar w:fldCharType="end"/>
      </w:r>
      <w:r>
        <w:rPr>
          <w:rFonts w:hint="eastAsia"/>
        </w:rPr>
        <w:fldChar w:fldCharType="end"/>
      </w:r>
    </w:p>
    <w:p w14:paraId="52DCC925">
      <w:pPr>
        <w:pStyle w:val="17"/>
        <w:rPr>
          <w:rFonts w:hAnsiTheme="minorHAnsi" w:cstheme="minorBidi"/>
          <w:sz w:val="21"/>
          <w:szCs w:val="22"/>
        </w:rPr>
      </w:pPr>
      <w:r>
        <w:fldChar w:fldCharType="begin"/>
      </w:r>
      <w:r>
        <w:instrText xml:space="preserve"> HYPERLINK \l "_Toc131005109" </w:instrText>
      </w:r>
      <w:r>
        <w:fldChar w:fldCharType="separate"/>
      </w:r>
      <w:r>
        <w:rPr>
          <w:rStyle w:val="26"/>
          <w:rFonts w:hint="eastAsia"/>
          <w:color w:val="auto"/>
        </w:rPr>
        <w:t>第一节 自然地理与生态现状</w:t>
      </w:r>
      <w:r>
        <w:rPr>
          <w:rFonts w:hint="eastAsia"/>
        </w:rPr>
        <w:tab/>
      </w:r>
      <w:r>
        <w:rPr>
          <w:rFonts w:hint="eastAsia"/>
        </w:rPr>
        <w:fldChar w:fldCharType="begin"/>
      </w:r>
      <w:r>
        <w:rPr>
          <w:rFonts w:hint="eastAsia"/>
        </w:rPr>
        <w:instrText xml:space="preserve"> PAGEREF _Toc131005109 \h </w:instrText>
      </w:r>
      <w:r>
        <w:rPr>
          <w:rFonts w:hint="eastAsia"/>
        </w:rPr>
        <w:fldChar w:fldCharType="separate"/>
      </w:r>
      <w:r>
        <w:t>9</w:t>
      </w:r>
      <w:r>
        <w:rPr>
          <w:rFonts w:hint="eastAsia"/>
        </w:rPr>
        <w:fldChar w:fldCharType="end"/>
      </w:r>
      <w:r>
        <w:rPr>
          <w:rFonts w:hint="eastAsia"/>
        </w:rPr>
        <w:fldChar w:fldCharType="end"/>
      </w:r>
    </w:p>
    <w:p w14:paraId="4AC35AEA">
      <w:pPr>
        <w:pStyle w:val="17"/>
        <w:rPr>
          <w:rFonts w:hAnsiTheme="minorHAnsi" w:cstheme="minorBidi"/>
          <w:sz w:val="21"/>
          <w:szCs w:val="22"/>
        </w:rPr>
      </w:pPr>
      <w:r>
        <w:fldChar w:fldCharType="begin"/>
      </w:r>
      <w:r>
        <w:instrText xml:space="preserve"> HYPERLINK \l "_Toc131005110" </w:instrText>
      </w:r>
      <w:r>
        <w:fldChar w:fldCharType="separate"/>
      </w:r>
      <w:r>
        <w:rPr>
          <w:rStyle w:val="26"/>
          <w:rFonts w:hint="eastAsia"/>
          <w:color w:val="auto"/>
        </w:rPr>
        <w:t>第二节 存在的主要问题</w:t>
      </w:r>
      <w:r>
        <w:rPr>
          <w:rFonts w:hint="eastAsia"/>
        </w:rPr>
        <w:tab/>
      </w:r>
      <w:r>
        <w:rPr>
          <w:rFonts w:hint="eastAsia"/>
        </w:rPr>
        <w:fldChar w:fldCharType="begin"/>
      </w:r>
      <w:r>
        <w:rPr>
          <w:rFonts w:hint="eastAsia"/>
        </w:rPr>
        <w:instrText xml:space="preserve"> PAGEREF _Toc131005110 \h </w:instrText>
      </w:r>
      <w:r>
        <w:rPr>
          <w:rFonts w:hint="eastAsia"/>
        </w:rPr>
        <w:fldChar w:fldCharType="separate"/>
      </w:r>
      <w:r>
        <w:t>12</w:t>
      </w:r>
      <w:r>
        <w:rPr>
          <w:rFonts w:hint="eastAsia"/>
        </w:rPr>
        <w:fldChar w:fldCharType="end"/>
      </w:r>
      <w:r>
        <w:rPr>
          <w:rFonts w:hint="eastAsia"/>
        </w:rPr>
        <w:fldChar w:fldCharType="end"/>
      </w:r>
    </w:p>
    <w:p w14:paraId="5F61FEB1">
      <w:pPr>
        <w:pStyle w:val="14"/>
        <w:rPr>
          <w:rFonts w:hAnsiTheme="minorHAnsi" w:cstheme="minorBidi"/>
          <w:b w:val="0"/>
          <w:bCs w:val="0"/>
          <w:kern w:val="2"/>
          <w:sz w:val="21"/>
          <w:szCs w:val="22"/>
        </w:rPr>
      </w:pPr>
      <w:r>
        <w:fldChar w:fldCharType="begin"/>
      </w:r>
      <w:r>
        <w:instrText xml:space="preserve"> HYPERLINK \l "_Toc131005111" </w:instrText>
      </w:r>
      <w:r>
        <w:fldChar w:fldCharType="separate"/>
      </w:r>
      <w:r>
        <w:rPr>
          <w:rStyle w:val="26"/>
          <w:rFonts w:hint="eastAsia"/>
          <w:color w:val="auto"/>
        </w:rPr>
        <w:t>第三章  总体要求</w:t>
      </w:r>
      <w:r>
        <w:rPr>
          <w:rFonts w:hint="eastAsia"/>
        </w:rPr>
        <w:tab/>
      </w:r>
      <w:r>
        <w:rPr>
          <w:rFonts w:hint="eastAsia"/>
        </w:rPr>
        <w:fldChar w:fldCharType="begin"/>
      </w:r>
      <w:r>
        <w:rPr>
          <w:rFonts w:hint="eastAsia"/>
        </w:rPr>
        <w:instrText xml:space="preserve"> PAGEREF _Toc131005111 \h </w:instrText>
      </w:r>
      <w:r>
        <w:rPr>
          <w:rFonts w:hint="eastAsia"/>
        </w:rPr>
        <w:fldChar w:fldCharType="separate"/>
      </w:r>
      <w:r>
        <w:t>19</w:t>
      </w:r>
      <w:r>
        <w:rPr>
          <w:rFonts w:hint="eastAsia"/>
        </w:rPr>
        <w:fldChar w:fldCharType="end"/>
      </w:r>
      <w:r>
        <w:rPr>
          <w:rFonts w:hint="eastAsia"/>
        </w:rPr>
        <w:fldChar w:fldCharType="end"/>
      </w:r>
    </w:p>
    <w:p w14:paraId="14D4AFE1">
      <w:pPr>
        <w:pStyle w:val="17"/>
        <w:rPr>
          <w:rFonts w:hAnsiTheme="minorHAnsi" w:cstheme="minorBidi"/>
          <w:sz w:val="21"/>
          <w:szCs w:val="22"/>
        </w:rPr>
      </w:pPr>
      <w:r>
        <w:fldChar w:fldCharType="begin"/>
      </w:r>
      <w:r>
        <w:instrText xml:space="preserve"> HYPERLINK \l "_Toc131005112" </w:instrText>
      </w:r>
      <w:r>
        <w:fldChar w:fldCharType="separate"/>
      </w:r>
      <w:r>
        <w:rPr>
          <w:rStyle w:val="26"/>
          <w:rFonts w:hint="eastAsia"/>
          <w:color w:val="auto"/>
        </w:rPr>
        <w:t>第一节 指导思想</w:t>
      </w:r>
      <w:r>
        <w:rPr>
          <w:rFonts w:hint="eastAsia"/>
        </w:rPr>
        <w:tab/>
      </w:r>
      <w:r>
        <w:rPr>
          <w:rFonts w:hint="eastAsia"/>
        </w:rPr>
        <w:fldChar w:fldCharType="begin"/>
      </w:r>
      <w:r>
        <w:rPr>
          <w:rFonts w:hint="eastAsia"/>
        </w:rPr>
        <w:instrText xml:space="preserve"> PAGEREF _Toc131005112 \h </w:instrText>
      </w:r>
      <w:r>
        <w:rPr>
          <w:rFonts w:hint="eastAsia"/>
        </w:rPr>
        <w:fldChar w:fldCharType="separate"/>
      </w:r>
      <w:r>
        <w:t>19</w:t>
      </w:r>
      <w:r>
        <w:rPr>
          <w:rFonts w:hint="eastAsia"/>
        </w:rPr>
        <w:fldChar w:fldCharType="end"/>
      </w:r>
      <w:r>
        <w:rPr>
          <w:rFonts w:hint="eastAsia"/>
        </w:rPr>
        <w:fldChar w:fldCharType="end"/>
      </w:r>
    </w:p>
    <w:p w14:paraId="15073B25">
      <w:pPr>
        <w:pStyle w:val="17"/>
        <w:rPr>
          <w:rFonts w:hAnsiTheme="minorHAnsi" w:cstheme="minorBidi"/>
          <w:sz w:val="21"/>
          <w:szCs w:val="22"/>
        </w:rPr>
      </w:pPr>
      <w:r>
        <w:fldChar w:fldCharType="begin"/>
      </w:r>
      <w:r>
        <w:instrText xml:space="preserve"> HYPERLINK \l "_Toc131005113" </w:instrText>
      </w:r>
      <w:r>
        <w:fldChar w:fldCharType="separate"/>
      </w:r>
      <w:r>
        <w:rPr>
          <w:rStyle w:val="26"/>
          <w:rFonts w:hint="eastAsia"/>
          <w:color w:val="auto"/>
        </w:rPr>
        <w:t>第二节 基本原则</w:t>
      </w:r>
      <w:r>
        <w:rPr>
          <w:rFonts w:hint="eastAsia"/>
        </w:rPr>
        <w:tab/>
      </w:r>
      <w:r>
        <w:rPr>
          <w:rFonts w:hint="eastAsia"/>
        </w:rPr>
        <w:fldChar w:fldCharType="begin"/>
      </w:r>
      <w:r>
        <w:rPr>
          <w:rFonts w:hint="eastAsia"/>
        </w:rPr>
        <w:instrText xml:space="preserve"> PAGEREF _Toc131005113 \h </w:instrText>
      </w:r>
      <w:r>
        <w:rPr>
          <w:rFonts w:hint="eastAsia"/>
        </w:rPr>
        <w:fldChar w:fldCharType="separate"/>
      </w:r>
      <w:r>
        <w:t>19</w:t>
      </w:r>
      <w:r>
        <w:rPr>
          <w:rFonts w:hint="eastAsia"/>
        </w:rPr>
        <w:fldChar w:fldCharType="end"/>
      </w:r>
      <w:r>
        <w:rPr>
          <w:rFonts w:hint="eastAsia"/>
        </w:rPr>
        <w:fldChar w:fldCharType="end"/>
      </w:r>
    </w:p>
    <w:p w14:paraId="508E4081">
      <w:pPr>
        <w:pStyle w:val="17"/>
        <w:rPr>
          <w:rFonts w:hAnsiTheme="minorHAnsi" w:cstheme="minorBidi"/>
          <w:sz w:val="21"/>
          <w:szCs w:val="22"/>
        </w:rPr>
      </w:pPr>
      <w:r>
        <w:fldChar w:fldCharType="begin"/>
      </w:r>
      <w:r>
        <w:instrText xml:space="preserve"> HYPERLINK \l "_Toc131005114" </w:instrText>
      </w:r>
      <w:r>
        <w:fldChar w:fldCharType="separate"/>
      </w:r>
      <w:r>
        <w:rPr>
          <w:rStyle w:val="26"/>
          <w:rFonts w:hint="eastAsia"/>
          <w:color w:val="auto"/>
        </w:rPr>
        <w:t>第三节 规划目标</w:t>
      </w:r>
      <w:r>
        <w:rPr>
          <w:rFonts w:hint="eastAsia"/>
        </w:rPr>
        <w:tab/>
      </w:r>
      <w:r>
        <w:rPr>
          <w:rFonts w:hint="eastAsia"/>
        </w:rPr>
        <w:fldChar w:fldCharType="begin"/>
      </w:r>
      <w:r>
        <w:rPr>
          <w:rFonts w:hint="eastAsia"/>
        </w:rPr>
        <w:instrText xml:space="preserve"> PAGEREF _Toc131005114 \h </w:instrText>
      </w:r>
      <w:r>
        <w:rPr>
          <w:rFonts w:hint="eastAsia"/>
        </w:rPr>
        <w:fldChar w:fldCharType="separate"/>
      </w:r>
      <w:r>
        <w:t>21</w:t>
      </w:r>
      <w:r>
        <w:rPr>
          <w:rFonts w:hint="eastAsia"/>
        </w:rPr>
        <w:fldChar w:fldCharType="end"/>
      </w:r>
      <w:r>
        <w:rPr>
          <w:rFonts w:hint="eastAsia"/>
        </w:rPr>
        <w:fldChar w:fldCharType="end"/>
      </w:r>
    </w:p>
    <w:p w14:paraId="66ED292E">
      <w:pPr>
        <w:pStyle w:val="17"/>
        <w:rPr>
          <w:rFonts w:hAnsiTheme="minorHAnsi" w:cstheme="minorBidi"/>
          <w:sz w:val="21"/>
          <w:szCs w:val="22"/>
        </w:rPr>
      </w:pPr>
      <w:r>
        <w:fldChar w:fldCharType="begin"/>
      </w:r>
      <w:r>
        <w:instrText xml:space="preserve"> HYPERLINK \l "_Toc131005115" </w:instrText>
      </w:r>
      <w:r>
        <w:fldChar w:fldCharType="separate"/>
      </w:r>
      <w:r>
        <w:rPr>
          <w:rStyle w:val="26"/>
          <w:rFonts w:hint="eastAsia"/>
          <w:color w:val="auto"/>
        </w:rPr>
        <w:t>第四节 规划任务</w:t>
      </w:r>
      <w:r>
        <w:rPr>
          <w:rFonts w:hint="eastAsia"/>
        </w:rPr>
        <w:tab/>
      </w:r>
      <w:r>
        <w:rPr>
          <w:rFonts w:hint="eastAsia"/>
        </w:rPr>
        <w:fldChar w:fldCharType="begin"/>
      </w:r>
      <w:r>
        <w:rPr>
          <w:rFonts w:hint="eastAsia"/>
        </w:rPr>
        <w:instrText xml:space="preserve"> PAGEREF _Toc131005115 \h </w:instrText>
      </w:r>
      <w:r>
        <w:rPr>
          <w:rFonts w:hint="eastAsia"/>
        </w:rPr>
        <w:fldChar w:fldCharType="separate"/>
      </w:r>
      <w:r>
        <w:t>24</w:t>
      </w:r>
      <w:r>
        <w:rPr>
          <w:rFonts w:hint="eastAsia"/>
        </w:rPr>
        <w:fldChar w:fldCharType="end"/>
      </w:r>
      <w:r>
        <w:rPr>
          <w:rFonts w:hint="eastAsia"/>
        </w:rPr>
        <w:fldChar w:fldCharType="end"/>
      </w:r>
    </w:p>
    <w:p w14:paraId="150985C8">
      <w:pPr>
        <w:pStyle w:val="14"/>
        <w:rPr>
          <w:rFonts w:hAnsiTheme="minorHAnsi" w:cstheme="minorBidi"/>
          <w:b w:val="0"/>
          <w:bCs w:val="0"/>
          <w:kern w:val="2"/>
          <w:sz w:val="21"/>
          <w:szCs w:val="22"/>
        </w:rPr>
      </w:pPr>
      <w:r>
        <w:fldChar w:fldCharType="begin"/>
      </w:r>
      <w:r>
        <w:instrText xml:space="preserve"> HYPERLINK \l "_Toc131005116" </w:instrText>
      </w:r>
      <w:r>
        <w:fldChar w:fldCharType="separate"/>
      </w:r>
      <w:r>
        <w:rPr>
          <w:rStyle w:val="26"/>
          <w:rFonts w:hint="eastAsia"/>
          <w:color w:val="auto"/>
        </w:rPr>
        <w:t>第四章  国土空间生态修复格局</w:t>
      </w:r>
      <w:r>
        <w:rPr>
          <w:rFonts w:hint="eastAsia"/>
        </w:rPr>
        <w:tab/>
      </w:r>
      <w:r>
        <w:rPr>
          <w:rFonts w:hint="eastAsia"/>
        </w:rPr>
        <w:fldChar w:fldCharType="begin"/>
      </w:r>
      <w:r>
        <w:rPr>
          <w:rFonts w:hint="eastAsia"/>
        </w:rPr>
        <w:instrText xml:space="preserve"> PAGEREF _Toc131005116 \h </w:instrText>
      </w:r>
      <w:r>
        <w:rPr>
          <w:rFonts w:hint="eastAsia"/>
        </w:rPr>
        <w:fldChar w:fldCharType="separate"/>
      </w:r>
      <w:r>
        <w:t>27</w:t>
      </w:r>
      <w:r>
        <w:rPr>
          <w:rFonts w:hint="eastAsia"/>
        </w:rPr>
        <w:fldChar w:fldCharType="end"/>
      </w:r>
      <w:r>
        <w:rPr>
          <w:rFonts w:hint="eastAsia"/>
        </w:rPr>
        <w:fldChar w:fldCharType="end"/>
      </w:r>
    </w:p>
    <w:p w14:paraId="6EDC0E40">
      <w:pPr>
        <w:pStyle w:val="17"/>
        <w:rPr>
          <w:rFonts w:hAnsiTheme="minorHAnsi" w:cstheme="minorBidi"/>
          <w:sz w:val="21"/>
          <w:szCs w:val="22"/>
        </w:rPr>
      </w:pPr>
      <w:r>
        <w:fldChar w:fldCharType="begin"/>
      </w:r>
      <w:r>
        <w:instrText xml:space="preserve"> HYPERLINK \l "_Toc131005117" </w:instrText>
      </w:r>
      <w:r>
        <w:fldChar w:fldCharType="separate"/>
      </w:r>
      <w:r>
        <w:rPr>
          <w:rStyle w:val="26"/>
          <w:rFonts w:hint="eastAsia"/>
          <w:color w:val="auto"/>
        </w:rPr>
        <w:t>第一节 总体格局</w:t>
      </w:r>
      <w:r>
        <w:rPr>
          <w:rFonts w:hint="eastAsia"/>
        </w:rPr>
        <w:tab/>
      </w:r>
      <w:r>
        <w:rPr>
          <w:rFonts w:hint="eastAsia"/>
        </w:rPr>
        <w:fldChar w:fldCharType="begin"/>
      </w:r>
      <w:r>
        <w:rPr>
          <w:rFonts w:hint="eastAsia"/>
        </w:rPr>
        <w:instrText xml:space="preserve"> PAGEREF _Toc131005117 \h </w:instrText>
      </w:r>
      <w:r>
        <w:rPr>
          <w:rFonts w:hint="eastAsia"/>
        </w:rPr>
        <w:fldChar w:fldCharType="separate"/>
      </w:r>
      <w:r>
        <w:t>27</w:t>
      </w:r>
      <w:r>
        <w:rPr>
          <w:rFonts w:hint="eastAsia"/>
        </w:rPr>
        <w:fldChar w:fldCharType="end"/>
      </w:r>
      <w:r>
        <w:rPr>
          <w:rFonts w:hint="eastAsia"/>
        </w:rPr>
        <w:fldChar w:fldCharType="end"/>
      </w:r>
    </w:p>
    <w:p w14:paraId="732FF90E">
      <w:pPr>
        <w:pStyle w:val="17"/>
        <w:rPr>
          <w:rFonts w:hAnsiTheme="minorHAnsi" w:cstheme="minorBidi"/>
          <w:sz w:val="21"/>
          <w:szCs w:val="22"/>
        </w:rPr>
      </w:pPr>
      <w:r>
        <w:fldChar w:fldCharType="begin"/>
      </w:r>
      <w:r>
        <w:instrText xml:space="preserve"> HYPERLINK \l "_Toc131005118" </w:instrText>
      </w:r>
      <w:r>
        <w:fldChar w:fldCharType="separate"/>
      </w:r>
      <w:r>
        <w:rPr>
          <w:rStyle w:val="26"/>
          <w:rFonts w:hint="eastAsia"/>
          <w:color w:val="auto"/>
        </w:rPr>
        <w:t>第二节 生态修复分区</w:t>
      </w:r>
      <w:r>
        <w:rPr>
          <w:rFonts w:hint="eastAsia"/>
        </w:rPr>
        <w:tab/>
      </w:r>
      <w:r>
        <w:rPr>
          <w:rFonts w:hint="eastAsia"/>
        </w:rPr>
        <w:fldChar w:fldCharType="begin"/>
      </w:r>
      <w:r>
        <w:rPr>
          <w:rFonts w:hint="eastAsia"/>
        </w:rPr>
        <w:instrText xml:space="preserve"> PAGEREF _Toc131005118 \h </w:instrText>
      </w:r>
      <w:r>
        <w:rPr>
          <w:rFonts w:hint="eastAsia"/>
        </w:rPr>
        <w:fldChar w:fldCharType="separate"/>
      </w:r>
      <w:r>
        <w:t>28</w:t>
      </w:r>
      <w:r>
        <w:rPr>
          <w:rFonts w:hint="eastAsia"/>
        </w:rPr>
        <w:fldChar w:fldCharType="end"/>
      </w:r>
      <w:r>
        <w:rPr>
          <w:rFonts w:hint="eastAsia"/>
        </w:rPr>
        <w:fldChar w:fldCharType="end"/>
      </w:r>
    </w:p>
    <w:p w14:paraId="5029E700">
      <w:pPr>
        <w:pStyle w:val="14"/>
        <w:rPr>
          <w:rFonts w:hAnsiTheme="minorHAnsi" w:cstheme="minorBidi"/>
          <w:b w:val="0"/>
          <w:bCs w:val="0"/>
          <w:kern w:val="2"/>
          <w:sz w:val="21"/>
          <w:szCs w:val="22"/>
        </w:rPr>
      </w:pPr>
      <w:r>
        <w:fldChar w:fldCharType="begin"/>
      </w:r>
      <w:r>
        <w:instrText xml:space="preserve"> HYPERLINK \l "_Toc131005119" </w:instrText>
      </w:r>
      <w:r>
        <w:fldChar w:fldCharType="separate"/>
      </w:r>
      <w:r>
        <w:rPr>
          <w:rStyle w:val="26"/>
          <w:rFonts w:hint="eastAsia"/>
          <w:color w:val="auto"/>
        </w:rPr>
        <w:t>第五章  实施生态修复重大工程</w:t>
      </w:r>
      <w:r>
        <w:rPr>
          <w:rFonts w:hint="eastAsia"/>
        </w:rPr>
        <w:tab/>
      </w:r>
      <w:r>
        <w:rPr>
          <w:rFonts w:hint="eastAsia"/>
        </w:rPr>
        <w:fldChar w:fldCharType="begin"/>
      </w:r>
      <w:r>
        <w:rPr>
          <w:rFonts w:hint="eastAsia"/>
        </w:rPr>
        <w:instrText xml:space="preserve"> PAGEREF _Toc131005119 \h </w:instrText>
      </w:r>
      <w:r>
        <w:rPr>
          <w:rFonts w:hint="eastAsia"/>
        </w:rPr>
        <w:fldChar w:fldCharType="separate"/>
      </w:r>
      <w:r>
        <w:t>35</w:t>
      </w:r>
      <w:r>
        <w:rPr>
          <w:rFonts w:hint="eastAsia"/>
        </w:rPr>
        <w:fldChar w:fldCharType="end"/>
      </w:r>
      <w:r>
        <w:rPr>
          <w:rFonts w:hint="eastAsia"/>
        </w:rPr>
        <w:fldChar w:fldCharType="end"/>
      </w:r>
    </w:p>
    <w:p w14:paraId="1E31E1C2">
      <w:pPr>
        <w:pStyle w:val="17"/>
        <w:rPr>
          <w:rFonts w:hAnsiTheme="minorHAnsi" w:cstheme="minorBidi"/>
          <w:sz w:val="21"/>
          <w:szCs w:val="22"/>
        </w:rPr>
      </w:pPr>
      <w:r>
        <w:fldChar w:fldCharType="begin"/>
      </w:r>
      <w:r>
        <w:instrText xml:space="preserve"> HYPERLINK \l "_Toc131005120" </w:instrText>
      </w:r>
      <w:r>
        <w:fldChar w:fldCharType="separate"/>
      </w:r>
      <w:r>
        <w:rPr>
          <w:rStyle w:val="26"/>
          <w:rFonts w:hint="eastAsia"/>
          <w:color w:val="auto"/>
        </w:rPr>
        <w:t>第一节 湿地生态保护修复工程</w:t>
      </w:r>
      <w:r>
        <w:rPr>
          <w:rFonts w:hint="eastAsia"/>
        </w:rPr>
        <w:tab/>
      </w:r>
      <w:r>
        <w:rPr>
          <w:rFonts w:hint="eastAsia"/>
        </w:rPr>
        <w:fldChar w:fldCharType="begin"/>
      </w:r>
      <w:r>
        <w:rPr>
          <w:rFonts w:hint="eastAsia"/>
        </w:rPr>
        <w:instrText xml:space="preserve"> PAGEREF _Toc131005120 \h </w:instrText>
      </w:r>
      <w:r>
        <w:rPr>
          <w:rFonts w:hint="eastAsia"/>
        </w:rPr>
        <w:fldChar w:fldCharType="separate"/>
      </w:r>
      <w:r>
        <w:t>35</w:t>
      </w:r>
      <w:r>
        <w:rPr>
          <w:rFonts w:hint="eastAsia"/>
        </w:rPr>
        <w:fldChar w:fldCharType="end"/>
      </w:r>
      <w:r>
        <w:rPr>
          <w:rFonts w:hint="eastAsia"/>
        </w:rPr>
        <w:fldChar w:fldCharType="end"/>
      </w:r>
    </w:p>
    <w:p w14:paraId="4E8D6715">
      <w:pPr>
        <w:pStyle w:val="17"/>
        <w:rPr>
          <w:rFonts w:hAnsiTheme="minorHAnsi" w:cstheme="minorBidi"/>
          <w:sz w:val="21"/>
          <w:szCs w:val="22"/>
        </w:rPr>
      </w:pPr>
      <w:r>
        <w:fldChar w:fldCharType="begin"/>
      </w:r>
      <w:r>
        <w:instrText xml:space="preserve"> HYPERLINK \l "_Toc131005121" </w:instrText>
      </w:r>
      <w:r>
        <w:fldChar w:fldCharType="separate"/>
      </w:r>
      <w:r>
        <w:rPr>
          <w:rStyle w:val="26"/>
          <w:rFonts w:hint="eastAsia"/>
          <w:color w:val="auto"/>
        </w:rPr>
        <w:t>第二节 生物多样性保护工程</w:t>
      </w:r>
      <w:r>
        <w:rPr>
          <w:rFonts w:hint="eastAsia"/>
        </w:rPr>
        <w:tab/>
      </w:r>
      <w:r>
        <w:rPr>
          <w:rFonts w:hint="eastAsia"/>
        </w:rPr>
        <w:fldChar w:fldCharType="begin"/>
      </w:r>
      <w:r>
        <w:rPr>
          <w:rFonts w:hint="eastAsia"/>
        </w:rPr>
        <w:instrText xml:space="preserve"> PAGEREF _Toc131005121 \h </w:instrText>
      </w:r>
      <w:r>
        <w:rPr>
          <w:rFonts w:hint="eastAsia"/>
        </w:rPr>
        <w:fldChar w:fldCharType="separate"/>
      </w:r>
      <w:r>
        <w:t>37</w:t>
      </w:r>
      <w:r>
        <w:rPr>
          <w:rFonts w:hint="eastAsia"/>
        </w:rPr>
        <w:fldChar w:fldCharType="end"/>
      </w:r>
      <w:r>
        <w:rPr>
          <w:rFonts w:hint="eastAsia"/>
        </w:rPr>
        <w:fldChar w:fldCharType="end"/>
      </w:r>
    </w:p>
    <w:p w14:paraId="09D9691B">
      <w:pPr>
        <w:pStyle w:val="17"/>
        <w:rPr>
          <w:rFonts w:hAnsiTheme="minorHAnsi" w:cstheme="minorBidi"/>
          <w:sz w:val="21"/>
          <w:szCs w:val="22"/>
        </w:rPr>
      </w:pPr>
      <w:r>
        <w:fldChar w:fldCharType="begin"/>
      </w:r>
      <w:r>
        <w:instrText xml:space="preserve"> HYPERLINK \l "_Toc131005122" </w:instrText>
      </w:r>
      <w:r>
        <w:fldChar w:fldCharType="separate"/>
      </w:r>
      <w:r>
        <w:rPr>
          <w:rStyle w:val="26"/>
          <w:rFonts w:hint="eastAsia"/>
          <w:color w:val="auto"/>
        </w:rPr>
        <w:t>第三节 水环境综合整治与水系连通工程</w:t>
      </w:r>
      <w:r>
        <w:rPr>
          <w:rFonts w:hint="eastAsia"/>
        </w:rPr>
        <w:tab/>
      </w:r>
      <w:r>
        <w:rPr>
          <w:rFonts w:hint="eastAsia"/>
        </w:rPr>
        <w:fldChar w:fldCharType="begin"/>
      </w:r>
      <w:r>
        <w:rPr>
          <w:rFonts w:hint="eastAsia"/>
        </w:rPr>
        <w:instrText xml:space="preserve"> PAGEREF _Toc131005122 \h </w:instrText>
      </w:r>
      <w:r>
        <w:rPr>
          <w:rFonts w:hint="eastAsia"/>
        </w:rPr>
        <w:fldChar w:fldCharType="separate"/>
      </w:r>
      <w:r>
        <w:t>39</w:t>
      </w:r>
      <w:r>
        <w:rPr>
          <w:rFonts w:hint="eastAsia"/>
        </w:rPr>
        <w:fldChar w:fldCharType="end"/>
      </w:r>
      <w:r>
        <w:rPr>
          <w:rFonts w:hint="eastAsia"/>
        </w:rPr>
        <w:fldChar w:fldCharType="end"/>
      </w:r>
    </w:p>
    <w:p w14:paraId="1C3C05A3">
      <w:pPr>
        <w:pStyle w:val="17"/>
        <w:rPr>
          <w:rFonts w:hAnsiTheme="minorHAnsi" w:cstheme="minorBidi"/>
          <w:sz w:val="21"/>
          <w:szCs w:val="22"/>
        </w:rPr>
      </w:pPr>
      <w:r>
        <w:fldChar w:fldCharType="begin"/>
      </w:r>
      <w:r>
        <w:instrText xml:space="preserve"> HYPERLINK \l "_Toc131005123" </w:instrText>
      </w:r>
      <w:r>
        <w:fldChar w:fldCharType="separate"/>
      </w:r>
      <w:r>
        <w:rPr>
          <w:rStyle w:val="26"/>
          <w:rFonts w:hint="eastAsia"/>
          <w:color w:val="auto"/>
        </w:rPr>
        <w:t>第四节 森林资源保护与质量提升工程</w:t>
      </w:r>
      <w:r>
        <w:rPr>
          <w:rFonts w:hint="eastAsia"/>
        </w:rPr>
        <w:tab/>
      </w:r>
      <w:r>
        <w:rPr>
          <w:rFonts w:hint="eastAsia"/>
        </w:rPr>
        <w:fldChar w:fldCharType="begin"/>
      </w:r>
      <w:r>
        <w:rPr>
          <w:rFonts w:hint="eastAsia"/>
        </w:rPr>
        <w:instrText xml:space="preserve"> PAGEREF _Toc131005123 \h </w:instrText>
      </w:r>
      <w:r>
        <w:rPr>
          <w:rFonts w:hint="eastAsia"/>
        </w:rPr>
        <w:fldChar w:fldCharType="separate"/>
      </w:r>
      <w:r>
        <w:t>42</w:t>
      </w:r>
      <w:r>
        <w:rPr>
          <w:rFonts w:hint="eastAsia"/>
        </w:rPr>
        <w:fldChar w:fldCharType="end"/>
      </w:r>
      <w:r>
        <w:rPr>
          <w:rFonts w:hint="eastAsia"/>
        </w:rPr>
        <w:fldChar w:fldCharType="end"/>
      </w:r>
    </w:p>
    <w:p w14:paraId="3534A537">
      <w:pPr>
        <w:pStyle w:val="17"/>
        <w:rPr>
          <w:rFonts w:hAnsiTheme="minorHAnsi" w:cstheme="minorBidi"/>
          <w:sz w:val="21"/>
          <w:szCs w:val="22"/>
        </w:rPr>
      </w:pPr>
      <w:r>
        <w:fldChar w:fldCharType="begin"/>
      </w:r>
      <w:r>
        <w:instrText xml:space="preserve"> HYPERLINK \l "_Toc131005124" </w:instrText>
      </w:r>
      <w:r>
        <w:fldChar w:fldCharType="separate"/>
      </w:r>
      <w:r>
        <w:rPr>
          <w:rStyle w:val="26"/>
          <w:rFonts w:hint="eastAsia"/>
          <w:color w:val="auto"/>
        </w:rPr>
        <w:t>第五节 国土综合整治与农用地生态功能提升工程</w:t>
      </w:r>
      <w:r>
        <w:rPr>
          <w:rFonts w:hint="eastAsia"/>
        </w:rPr>
        <w:tab/>
      </w:r>
      <w:r>
        <w:rPr>
          <w:rFonts w:hint="eastAsia"/>
        </w:rPr>
        <w:fldChar w:fldCharType="begin"/>
      </w:r>
      <w:r>
        <w:rPr>
          <w:rFonts w:hint="eastAsia"/>
        </w:rPr>
        <w:instrText xml:space="preserve"> PAGEREF _Toc131005124 \h </w:instrText>
      </w:r>
      <w:r>
        <w:rPr>
          <w:rFonts w:hint="eastAsia"/>
        </w:rPr>
        <w:fldChar w:fldCharType="separate"/>
      </w:r>
      <w:r>
        <w:t>43</w:t>
      </w:r>
      <w:r>
        <w:rPr>
          <w:rFonts w:hint="eastAsia"/>
        </w:rPr>
        <w:fldChar w:fldCharType="end"/>
      </w:r>
      <w:r>
        <w:rPr>
          <w:rFonts w:hint="eastAsia"/>
        </w:rPr>
        <w:fldChar w:fldCharType="end"/>
      </w:r>
    </w:p>
    <w:p w14:paraId="362521AF">
      <w:pPr>
        <w:pStyle w:val="17"/>
        <w:rPr>
          <w:rFonts w:hAnsiTheme="minorHAnsi" w:cstheme="minorBidi"/>
          <w:sz w:val="21"/>
          <w:szCs w:val="22"/>
        </w:rPr>
      </w:pPr>
      <w:r>
        <w:fldChar w:fldCharType="begin"/>
      </w:r>
      <w:r>
        <w:instrText xml:space="preserve"> HYPERLINK \l "_Toc131005125" </w:instrText>
      </w:r>
      <w:r>
        <w:fldChar w:fldCharType="separate"/>
      </w:r>
      <w:r>
        <w:rPr>
          <w:rStyle w:val="26"/>
          <w:rFonts w:hint="eastAsia"/>
          <w:color w:val="auto"/>
        </w:rPr>
        <w:t>第六节 城乡生态网络连通与人居环境改善工程</w:t>
      </w:r>
      <w:r>
        <w:rPr>
          <w:rFonts w:hint="eastAsia"/>
        </w:rPr>
        <w:tab/>
      </w:r>
      <w:r>
        <w:rPr>
          <w:rFonts w:hint="eastAsia"/>
        </w:rPr>
        <w:fldChar w:fldCharType="begin"/>
      </w:r>
      <w:r>
        <w:rPr>
          <w:rFonts w:hint="eastAsia"/>
        </w:rPr>
        <w:instrText xml:space="preserve"> PAGEREF _Toc131005125 \h </w:instrText>
      </w:r>
      <w:r>
        <w:rPr>
          <w:rFonts w:hint="eastAsia"/>
        </w:rPr>
        <w:fldChar w:fldCharType="separate"/>
      </w:r>
      <w:r>
        <w:t>45</w:t>
      </w:r>
      <w:r>
        <w:rPr>
          <w:rFonts w:hint="eastAsia"/>
        </w:rPr>
        <w:fldChar w:fldCharType="end"/>
      </w:r>
      <w:r>
        <w:rPr>
          <w:rFonts w:hint="eastAsia"/>
        </w:rPr>
        <w:fldChar w:fldCharType="end"/>
      </w:r>
    </w:p>
    <w:p w14:paraId="43F08F35">
      <w:pPr>
        <w:pStyle w:val="14"/>
        <w:rPr>
          <w:rFonts w:hAnsiTheme="minorHAnsi" w:cstheme="minorBidi"/>
          <w:b w:val="0"/>
          <w:bCs w:val="0"/>
          <w:kern w:val="2"/>
          <w:sz w:val="21"/>
          <w:szCs w:val="22"/>
        </w:rPr>
      </w:pPr>
      <w:r>
        <w:fldChar w:fldCharType="begin"/>
      </w:r>
      <w:r>
        <w:instrText xml:space="preserve"> HYPERLINK \l "_Toc131005126" </w:instrText>
      </w:r>
      <w:r>
        <w:fldChar w:fldCharType="separate"/>
      </w:r>
      <w:r>
        <w:rPr>
          <w:rStyle w:val="26"/>
          <w:rFonts w:hint="eastAsia"/>
          <w:color w:val="auto"/>
        </w:rPr>
        <w:t>第六章  成本效益</w:t>
      </w:r>
      <w:r>
        <w:rPr>
          <w:rFonts w:hint="eastAsia"/>
        </w:rPr>
        <w:tab/>
      </w:r>
      <w:r>
        <w:rPr>
          <w:rFonts w:hint="eastAsia"/>
        </w:rPr>
        <w:fldChar w:fldCharType="begin"/>
      </w:r>
      <w:r>
        <w:rPr>
          <w:rFonts w:hint="eastAsia"/>
        </w:rPr>
        <w:instrText xml:space="preserve"> PAGEREF _Toc131005126 \h </w:instrText>
      </w:r>
      <w:r>
        <w:rPr>
          <w:rFonts w:hint="eastAsia"/>
        </w:rPr>
        <w:fldChar w:fldCharType="separate"/>
      </w:r>
      <w:r>
        <w:t>48</w:t>
      </w:r>
      <w:r>
        <w:rPr>
          <w:rFonts w:hint="eastAsia"/>
        </w:rPr>
        <w:fldChar w:fldCharType="end"/>
      </w:r>
      <w:r>
        <w:rPr>
          <w:rFonts w:hint="eastAsia"/>
        </w:rPr>
        <w:fldChar w:fldCharType="end"/>
      </w:r>
    </w:p>
    <w:p w14:paraId="52C55CAB">
      <w:pPr>
        <w:pStyle w:val="17"/>
        <w:rPr>
          <w:rFonts w:hAnsiTheme="minorHAnsi" w:cstheme="minorBidi"/>
          <w:sz w:val="21"/>
          <w:szCs w:val="22"/>
        </w:rPr>
      </w:pPr>
      <w:r>
        <w:fldChar w:fldCharType="begin"/>
      </w:r>
      <w:r>
        <w:instrText xml:space="preserve"> HYPERLINK \l "_Toc131005127" </w:instrText>
      </w:r>
      <w:r>
        <w:fldChar w:fldCharType="separate"/>
      </w:r>
      <w:r>
        <w:rPr>
          <w:rStyle w:val="26"/>
          <w:rFonts w:hint="eastAsia"/>
          <w:color w:val="auto"/>
        </w:rPr>
        <w:t>第一节 资金需求</w:t>
      </w:r>
      <w:r>
        <w:rPr>
          <w:rFonts w:hint="eastAsia"/>
        </w:rPr>
        <w:tab/>
      </w:r>
      <w:r>
        <w:rPr>
          <w:rFonts w:hint="eastAsia"/>
        </w:rPr>
        <w:fldChar w:fldCharType="begin"/>
      </w:r>
      <w:r>
        <w:rPr>
          <w:rFonts w:hint="eastAsia"/>
        </w:rPr>
        <w:instrText xml:space="preserve"> PAGEREF _Toc131005127 \h </w:instrText>
      </w:r>
      <w:r>
        <w:rPr>
          <w:rFonts w:hint="eastAsia"/>
        </w:rPr>
        <w:fldChar w:fldCharType="separate"/>
      </w:r>
      <w:r>
        <w:t>48</w:t>
      </w:r>
      <w:r>
        <w:rPr>
          <w:rFonts w:hint="eastAsia"/>
        </w:rPr>
        <w:fldChar w:fldCharType="end"/>
      </w:r>
      <w:r>
        <w:rPr>
          <w:rFonts w:hint="eastAsia"/>
        </w:rPr>
        <w:fldChar w:fldCharType="end"/>
      </w:r>
    </w:p>
    <w:p w14:paraId="1BF59F87">
      <w:pPr>
        <w:pStyle w:val="17"/>
        <w:rPr>
          <w:rFonts w:hAnsiTheme="minorHAnsi" w:cstheme="minorBidi"/>
          <w:sz w:val="21"/>
          <w:szCs w:val="22"/>
        </w:rPr>
      </w:pPr>
      <w:r>
        <w:fldChar w:fldCharType="begin"/>
      </w:r>
      <w:r>
        <w:instrText xml:space="preserve"> HYPERLINK \l "_Toc131005128" </w:instrText>
      </w:r>
      <w:r>
        <w:fldChar w:fldCharType="separate"/>
      </w:r>
      <w:r>
        <w:rPr>
          <w:rStyle w:val="26"/>
          <w:rFonts w:hint="eastAsia"/>
          <w:color w:val="auto"/>
        </w:rPr>
        <w:t>第二节 资金筹措</w:t>
      </w:r>
      <w:r>
        <w:rPr>
          <w:rFonts w:hint="eastAsia"/>
        </w:rPr>
        <w:tab/>
      </w:r>
      <w:r>
        <w:rPr>
          <w:rFonts w:hint="eastAsia"/>
        </w:rPr>
        <w:fldChar w:fldCharType="begin"/>
      </w:r>
      <w:r>
        <w:rPr>
          <w:rFonts w:hint="eastAsia"/>
        </w:rPr>
        <w:instrText xml:space="preserve"> PAGEREF _Toc131005128 \h </w:instrText>
      </w:r>
      <w:r>
        <w:rPr>
          <w:rFonts w:hint="eastAsia"/>
        </w:rPr>
        <w:fldChar w:fldCharType="separate"/>
      </w:r>
      <w:r>
        <w:t>48</w:t>
      </w:r>
      <w:r>
        <w:rPr>
          <w:rFonts w:hint="eastAsia"/>
        </w:rPr>
        <w:fldChar w:fldCharType="end"/>
      </w:r>
      <w:r>
        <w:rPr>
          <w:rFonts w:hint="eastAsia"/>
        </w:rPr>
        <w:fldChar w:fldCharType="end"/>
      </w:r>
    </w:p>
    <w:p w14:paraId="4C5ED226">
      <w:pPr>
        <w:pStyle w:val="17"/>
        <w:rPr>
          <w:rFonts w:hAnsiTheme="minorHAnsi" w:cstheme="minorBidi"/>
          <w:sz w:val="21"/>
          <w:szCs w:val="22"/>
        </w:rPr>
      </w:pPr>
      <w:r>
        <w:fldChar w:fldCharType="begin"/>
      </w:r>
      <w:r>
        <w:instrText xml:space="preserve"> HYPERLINK \l "_Toc131005129" </w:instrText>
      </w:r>
      <w:r>
        <w:fldChar w:fldCharType="separate"/>
      </w:r>
      <w:r>
        <w:rPr>
          <w:rStyle w:val="26"/>
          <w:rFonts w:hint="eastAsia"/>
          <w:color w:val="auto"/>
        </w:rPr>
        <w:t>第三节 效益分析</w:t>
      </w:r>
      <w:r>
        <w:rPr>
          <w:rFonts w:hint="eastAsia"/>
        </w:rPr>
        <w:tab/>
      </w:r>
      <w:r>
        <w:rPr>
          <w:rFonts w:hint="eastAsia"/>
        </w:rPr>
        <w:fldChar w:fldCharType="begin"/>
      </w:r>
      <w:r>
        <w:rPr>
          <w:rFonts w:hint="eastAsia"/>
        </w:rPr>
        <w:instrText xml:space="preserve"> PAGEREF _Toc131005129 \h </w:instrText>
      </w:r>
      <w:r>
        <w:rPr>
          <w:rFonts w:hint="eastAsia"/>
        </w:rPr>
        <w:fldChar w:fldCharType="separate"/>
      </w:r>
      <w:r>
        <w:t>51</w:t>
      </w:r>
      <w:r>
        <w:rPr>
          <w:rFonts w:hint="eastAsia"/>
        </w:rPr>
        <w:fldChar w:fldCharType="end"/>
      </w:r>
      <w:r>
        <w:rPr>
          <w:rFonts w:hint="eastAsia"/>
        </w:rPr>
        <w:fldChar w:fldCharType="end"/>
      </w:r>
    </w:p>
    <w:p w14:paraId="084817DC">
      <w:pPr>
        <w:pStyle w:val="14"/>
        <w:rPr>
          <w:rFonts w:hAnsiTheme="minorHAnsi" w:cstheme="minorBidi"/>
          <w:b w:val="0"/>
          <w:bCs w:val="0"/>
          <w:kern w:val="2"/>
          <w:sz w:val="21"/>
          <w:szCs w:val="22"/>
        </w:rPr>
      </w:pPr>
      <w:r>
        <w:fldChar w:fldCharType="begin"/>
      </w:r>
      <w:r>
        <w:instrText xml:space="preserve"> HYPERLINK \l "_Toc131005130" </w:instrText>
      </w:r>
      <w:r>
        <w:fldChar w:fldCharType="separate"/>
      </w:r>
      <w:r>
        <w:rPr>
          <w:rStyle w:val="26"/>
          <w:rFonts w:hint="eastAsia"/>
          <w:color w:val="auto"/>
        </w:rPr>
        <w:t>第七章  实施保障</w:t>
      </w:r>
      <w:r>
        <w:rPr>
          <w:rFonts w:hint="eastAsia"/>
        </w:rPr>
        <w:tab/>
      </w:r>
      <w:r>
        <w:rPr>
          <w:rFonts w:hint="eastAsia"/>
        </w:rPr>
        <w:fldChar w:fldCharType="begin"/>
      </w:r>
      <w:r>
        <w:rPr>
          <w:rFonts w:hint="eastAsia"/>
        </w:rPr>
        <w:instrText xml:space="preserve"> PAGEREF _Toc131005130 \h </w:instrText>
      </w:r>
      <w:r>
        <w:rPr>
          <w:rFonts w:hint="eastAsia"/>
        </w:rPr>
        <w:fldChar w:fldCharType="separate"/>
      </w:r>
      <w:r>
        <w:t>56</w:t>
      </w:r>
      <w:r>
        <w:rPr>
          <w:rFonts w:hint="eastAsia"/>
        </w:rPr>
        <w:fldChar w:fldCharType="end"/>
      </w:r>
      <w:r>
        <w:rPr>
          <w:rFonts w:hint="eastAsia"/>
        </w:rPr>
        <w:fldChar w:fldCharType="end"/>
      </w:r>
    </w:p>
    <w:p w14:paraId="3B6E480A">
      <w:pPr>
        <w:pStyle w:val="17"/>
        <w:rPr>
          <w:rFonts w:hAnsiTheme="minorHAnsi" w:cstheme="minorBidi"/>
          <w:sz w:val="21"/>
          <w:szCs w:val="22"/>
        </w:rPr>
      </w:pPr>
      <w:r>
        <w:fldChar w:fldCharType="begin"/>
      </w:r>
      <w:r>
        <w:instrText xml:space="preserve"> HYPERLINK \l "_Toc131005131" </w:instrText>
      </w:r>
      <w:r>
        <w:fldChar w:fldCharType="separate"/>
      </w:r>
      <w:r>
        <w:rPr>
          <w:rStyle w:val="26"/>
          <w:rFonts w:hint="eastAsia"/>
          <w:color w:val="auto"/>
        </w:rPr>
        <w:t>第一节 强化工作组织</w:t>
      </w:r>
      <w:r>
        <w:rPr>
          <w:rFonts w:hint="eastAsia"/>
        </w:rPr>
        <w:tab/>
      </w:r>
      <w:r>
        <w:rPr>
          <w:rFonts w:hint="eastAsia"/>
        </w:rPr>
        <w:fldChar w:fldCharType="begin"/>
      </w:r>
      <w:r>
        <w:rPr>
          <w:rFonts w:hint="eastAsia"/>
        </w:rPr>
        <w:instrText xml:space="preserve"> PAGEREF _Toc131005131 \h </w:instrText>
      </w:r>
      <w:r>
        <w:rPr>
          <w:rFonts w:hint="eastAsia"/>
        </w:rPr>
        <w:fldChar w:fldCharType="separate"/>
      </w:r>
      <w:r>
        <w:t>56</w:t>
      </w:r>
      <w:r>
        <w:rPr>
          <w:rFonts w:hint="eastAsia"/>
        </w:rPr>
        <w:fldChar w:fldCharType="end"/>
      </w:r>
      <w:r>
        <w:rPr>
          <w:rFonts w:hint="eastAsia"/>
        </w:rPr>
        <w:fldChar w:fldCharType="end"/>
      </w:r>
    </w:p>
    <w:p w14:paraId="2E10518B">
      <w:pPr>
        <w:pStyle w:val="17"/>
        <w:rPr>
          <w:rFonts w:hAnsiTheme="minorHAnsi" w:cstheme="minorBidi"/>
          <w:sz w:val="21"/>
          <w:szCs w:val="22"/>
        </w:rPr>
      </w:pPr>
      <w:r>
        <w:fldChar w:fldCharType="begin"/>
      </w:r>
      <w:r>
        <w:instrText xml:space="preserve"> HYPERLINK \l "_Toc131005132" </w:instrText>
      </w:r>
      <w:r>
        <w:fldChar w:fldCharType="separate"/>
      </w:r>
      <w:r>
        <w:rPr>
          <w:rStyle w:val="26"/>
          <w:rFonts w:hint="eastAsia"/>
          <w:color w:val="auto"/>
        </w:rPr>
        <w:t>第二节 创新政策体系</w:t>
      </w:r>
      <w:r>
        <w:rPr>
          <w:rFonts w:hint="eastAsia"/>
        </w:rPr>
        <w:tab/>
      </w:r>
      <w:r>
        <w:rPr>
          <w:rFonts w:hint="eastAsia"/>
        </w:rPr>
        <w:fldChar w:fldCharType="begin"/>
      </w:r>
      <w:r>
        <w:rPr>
          <w:rFonts w:hint="eastAsia"/>
        </w:rPr>
        <w:instrText xml:space="preserve"> PAGEREF _Toc131005132 \h </w:instrText>
      </w:r>
      <w:r>
        <w:rPr>
          <w:rFonts w:hint="eastAsia"/>
        </w:rPr>
        <w:fldChar w:fldCharType="separate"/>
      </w:r>
      <w:r>
        <w:t>56</w:t>
      </w:r>
      <w:r>
        <w:rPr>
          <w:rFonts w:hint="eastAsia"/>
        </w:rPr>
        <w:fldChar w:fldCharType="end"/>
      </w:r>
      <w:r>
        <w:rPr>
          <w:rFonts w:hint="eastAsia"/>
        </w:rPr>
        <w:fldChar w:fldCharType="end"/>
      </w:r>
    </w:p>
    <w:p w14:paraId="37925AD5">
      <w:pPr>
        <w:pStyle w:val="17"/>
        <w:rPr>
          <w:rFonts w:hAnsiTheme="minorHAnsi" w:cstheme="minorBidi"/>
          <w:sz w:val="21"/>
          <w:szCs w:val="22"/>
        </w:rPr>
      </w:pPr>
      <w:r>
        <w:fldChar w:fldCharType="begin"/>
      </w:r>
      <w:r>
        <w:instrText xml:space="preserve"> HYPERLINK \l "_Toc131005133" </w:instrText>
      </w:r>
      <w:r>
        <w:fldChar w:fldCharType="separate"/>
      </w:r>
      <w:r>
        <w:rPr>
          <w:rStyle w:val="26"/>
          <w:rFonts w:hint="eastAsia"/>
          <w:color w:val="auto"/>
        </w:rPr>
        <w:t>第三节 加强技术支撑</w:t>
      </w:r>
      <w:r>
        <w:rPr>
          <w:rFonts w:hint="eastAsia"/>
        </w:rPr>
        <w:tab/>
      </w:r>
      <w:r>
        <w:rPr>
          <w:rFonts w:hint="eastAsia"/>
        </w:rPr>
        <w:fldChar w:fldCharType="begin"/>
      </w:r>
      <w:r>
        <w:rPr>
          <w:rFonts w:hint="eastAsia"/>
        </w:rPr>
        <w:instrText xml:space="preserve"> PAGEREF _Toc131005133 \h </w:instrText>
      </w:r>
      <w:r>
        <w:rPr>
          <w:rFonts w:hint="eastAsia"/>
        </w:rPr>
        <w:fldChar w:fldCharType="separate"/>
      </w:r>
      <w:r>
        <w:t>58</w:t>
      </w:r>
      <w:r>
        <w:rPr>
          <w:rFonts w:hint="eastAsia"/>
        </w:rPr>
        <w:fldChar w:fldCharType="end"/>
      </w:r>
      <w:r>
        <w:rPr>
          <w:rFonts w:hint="eastAsia"/>
        </w:rPr>
        <w:fldChar w:fldCharType="end"/>
      </w:r>
    </w:p>
    <w:p w14:paraId="3EDF81C3">
      <w:pPr>
        <w:pStyle w:val="17"/>
        <w:rPr>
          <w:rFonts w:hAnsiTheme="minorHAnsi" w:cstheme="minorBidi"/>
          <w:sz w:val="21"/>
          <w:szCs w:val="22"/>
        </w:rPr>
      </w:pPr>
      <w:r>
        <w:fldChar w:fldCharType="begin"/>
      </w:r>
      <w:r>
        <w:instrText xml:space="preserve"> HYPERLINK \l "_Toc131005134" </w:instrText>
      </w:r>
      <w:r>
        <w:fldChar w:fldCharType="separate"/>
      </w:r>
      <w:r>
        <w:rPr>
          <w:rStyle w:val="26"/>
          <w:rFonts w:hint="eastAsia"/>
          <w:color w:val="auto"/>
        </w:rPr>
        <w:t>第四节 强化资金保障</w:t>
      </w:r>
      <w:r>
        <w:rPr>
          <w:rFonts w:hint="eastAsia"/>
        </w:rPr>
        <w:tab/>
      </w:r>
      <w:r>
        <w:rPr>
          <w:rFonts w:hint="eastAsia"/>
        </w:rPr>
        <w:fldChar w:fldCharType="begin"/>
      </w:r>
      <w:r>
        <w:rPr>
          <w:rFonts w:hint="eastAsia"/>
        </w:rPr>
        <w:instrText xml:space="preserve"> PAGEREF _Toc131005134 \h </w:instrText>
      </w:r>
      <w:r>
        <w:rPr>
          <w:rFonts w:hint="eastAsia"/>
        </w:rPr>
        <w:fldChar w:fldCharType="separate"/>
      </w:r>
      <w:r>
        <w:t>58</w:t>
      </w:r>
      <w:r>
        <w:rPr>
          <w:rFonts w:hint="eastAsia"/>
        </w:rPr>
        <w:fldChar w:fldCharType="end"/>
      </w:r>
      <w:r>
        <w:rPr>
          <w:rFonts w:hint="eastAsia"/>
        </w:rPr>
        <w:fldChar w:fldCharType="end"/>
      </w:r>
    </w:p>
    <w:p w14:paraId="7B82D478">
      <w:pPr>
        <w:pStyle w:val="17"/>
        <w:rPr>
          <w:rFonts w:hAnsiTheme="minorHAnsi" w:cstheme="minorBidi"/>
          <w:sz w:val="21"/>
          <w:szCs w:val="22"/>
        </w:rPr>
      </w:pPr>
      <w:r>
        <w:fldChar w:fldCharType="begin"/>
      </w:r>
      <w:r>
        <w:instrText xml:space="preserve"> HYPERLINK \l "_Toc131005135" </w:instrText>
      </w:r>
      <w:r>
        <w:fldChar w:fldCharType="separate"/>
      </w:r>
      <w:r>
        <w:rPr>
          <w:rStyle w:val="26"/>
          <w:rFonts w:hint="eastAsia"/>
          <w:color w:val="auto"/>
        </w:rPr>
        <w:t>第五节 鼓励公众参与</w:t>
      </w:r>
      <w:r>
        <w:rPr>
          <w:rFonts w:hint="eastAsia"/>
        </w:rPr>
        <w:tab/>
      </w:r>
      <w:r>
        <w:rPr>
          <w:rFonts w:hint="eastAsia"/>
        </w:rPr>
        <w:fldChar w:fldCharType="begin"/>
      </w:r>
      <w:r>
        <w:rPr>
          <w:rFonts w:hint="eastAsia"/>
        </w:rPr>
        <w:instrText xml:space="preserve"> PAGEREF _Toc131005135 \h </w:instrText>
      </w:r>
      <w:r>
        <w:rPr>
          <w:rFonts w:hint="eastAsia"/>
        </w:rPr>
        <w:fldChar w:fldCharType="separate"/>
      </w:r>
      <w:r>
        <w:t>59</w:t>
      </w:r>
      <w:r>
        <w:rPr>
          <w:rFonts w:hint="eastAsia"/>
        </w:rPr>
        <w:fldChar w:fldCharType="end"/>
      </w:r>
      <w:r>
        <w:rPr>
          <w:rFonts w:hint="eastAsia"/>
        </w:rPr>
        <w:fldChar w:fldCharType="end"/>
      </w:r>
    </w:p>
    <w:p w14:paraId="2F19FBA9">
      <w:pPr>
        <w:pStyle w:val="17"/>
        <w:rPr>
          <w:rFonts w:hAnsiTheme="minorHAnsi" w:cstheme="minorBidi"/>
          <w:sz w:val="21"/>
          <w:szCs w:val="22"/>
        </w:rPr>
      </w:pPr>
      <w:r>
        <w:fldChar w:fldCharType="begin"/>
      </w:r>
      <w:r>
        <w:instrText xml:space="preserve"> HYPERLINK \l "_Toc131005136" </w:instrText>
      </w:r>
      <w:r>
        <w:fldChar w:fldCharType="separate"/>
      </w:r>
      <w:r>
        <w:rPr>
          <w:rStyle w:val="26"/>
          <w:rFonts w:hint="eastAsia"/>
          <w:color w:val="auto"/>
        </w:rPr>
        <w:t>第六节 加强监测监管</w:t>
      </w:r>
      <w:r>
        <w:rPr>
          <w:rFonts w:hint="eastAsia"/>
        </w:rPr>
        <w:tab/>
      </w:r>
      <w:r>
        <w:rPr>
          <w:rFonts w:hint="eastAsia"/>
        </w:rPr>
        <w:fldChar w:fldCharType="begin"/>
      </w:r>
      <w:r>
        <w:rPr>
          <w:rFonts w:hint="eastAsia"/>
        </w:rPr>
        <w:instrText xml:space="preserve"> PAGEREF _Toc131005136 \h </w:instrText>
      </w:r>
      <w:r>
        <w:rPr>
          <w:rFonts w:hint="eastAsia"/>
        </w:rPr>
        <w:fldChar w:fldCharType="separate"/>
      </w:r>
      <w:r>
        <w:t>59</w:t>
      </w:r>
      <w:r>
        <w:rPr>
          <w:rFonts w:hint="eastAsia"/>
        </w:rPr>
        <w:fldChar w:fldCharType="end"/>
      </w:r>
      <w:r>
        <w:rPr>
          <w:rFonts w:hint="eastAsia"/>
        </w:rPr>
        <w:fldChar w:fldCharType="end"/>
      </w:r>
    </w:p>
    <w:p w14:paraId="02063A06">
      <w:pPr>
        <w:pStyle w:val="14"/>
        <w:rPr>
          <w:rFonts w:hAnsiTheme="minorHAnsi" w:cstheme="minorBidi"/>
          <w:b w:val="0"/>
          <w:bCs w:val="0"/>
          <w:kern w:val="2"/>
          <w:sz w:val="21"/>
          <w:szCs w:val="22"/>
        </w:rPr>
      </w:pPr>
      <w:r>
        <w:fldChar w:fldCharType="begin"/>
      </w:r>
      <w:r>
        <w:instrText xml:space="preserve"> HYPERLINK \l "_Toc131005137" </w:instrText>
      </w:r>
      <w:r>
        <w:fldChar w:fldCharType="separate"/>
      </w:r>
      <w:r>
        <w:rPr>
          <w:rStyle w:val="26"/>
          <w:rFonts w:hint="eastAsia"/>
          <w:color w:val="auto"/>
        </w:rPr>
        <w:t>附 表</w:t>
      </w:r>
      <w:r>
        <w:rPr>
          <w:rFonts w:hint="eastAsia"/>
        </w:rPr>
        <w:tab/>
      </w:r>
      <w:r>
        <w:rPr>
          <w:rFonts w:hint="eastAsia"/>
        </w:rPr>
        <w:fldChar w:fldCharType="begin"/>
      </w:r>
      <w:r>
        <w:rPr>
          <w:rFonts w:hint="eastAsia"/>
        </w:rPr>
        <w:instrText xml:space="preserve"> PAGEREF _Toc131005137 \h </w:instrText>
      </w:r>
      <w:r>
        <w:rPr>
          <w:rFonts w:hint="eastAsia"/>
        </w:rPr>
        <w:fldChar w:fldCharType="separate"/>
      </w:r>
      <w:r>
        <w:t>61</w:t>
      </w:r>
      <w:r>
        <w:rPr>
          <w:rFonts w:hint="eastAsia"/>
        </w:rPr>
        <w:fldChar w:fldCharType="end"/>
      </w:r>
      <w:r>
        <w:rPr>
          <w:rFonts w:hint="eastAsia"/>
        </w:rPr>
        <w:fldChar w:fldCharType="end"/>
      </w:r>
    </w:p>
    <w:p w14:paraId="085D0112">
      <w:pPr>
        <w:pStyle w:val="17"/>
        <w:rPr>
          <w:rFonts w:hAnsiTheme="minorHAnsi" w:cstheme="minorBidi"/>
          <w:sz w:val="21"/>
          <w:szCs w:val="22"/>
        </w:rPr>
      </w:pPr>
      <w:r>
        <w:fldChar w:fldCharType="begin"/>
      </w:r>
      <w:r>
        <w:instrText xml:space="preserve"> HYPERLINK \l "_Toc131005138" </w:instrText>
      </w:r>
      <w:r>
        <w:fldChar w:fldCharType="separate"/>
      </w:r>
      <w:r>
        <w:rPr>
          <w:rStyle w:val="26"/>
          <w:rFonts w:hint="eastAsia"/>
          <w:color w:val="auto"/>
        </w:rPr>
        <w:t>附表1：规划指标一览表</w:t>
      </w:r>
      <w:r>
        <w:rPr>
          <w:rFonts w:hint="eastAsia"/>
        </w:rPr>
        <w:tab/>
      </w:r>
      <w:r>
        <w:rPr>
          <w:rFonts w:hint="eastAsia"/>
        </w:rPr>
        <w:fldChar w:fldCharType="begin"/>
      </w:r>
      <w:r>
        <w:rPr>
          <w:rFonts w:hint="eastAsia"/>
        </w:rPr>
        <w:instrText xml:space="preserve"> PAGEREF _Toc131005138 \h </w:instrText>
      </w:r>
      <w:r>
        <w:rPr>
          <w:rFonts w:hint="eastAsia"/>
        </w:rPr>
        <w:fldChar w:fldCharType="separate"/>
      </w:r>
      <w:r>
        <w:t>61</w:t>
      </w:r>
      <w:r>
        <w:rPr>
          <w:rFonts w:hint="eastAsia"/>
        </w:rPr>
        <w:fldChar w:fldCharType="end"/>
      </w:r>
      <w:r>
        <w:rPr>
          <w:rFonts w:hint="eastAsia"/>
        </w:rPr>
        <w:fldChar w:fldCharType="end"/>
      </w:r>
    </w:p>
    <w:p w14:paraId="229C627D">
      <w:pPr>
        <w:pStyle w:val="17"/>
        <w:rPr>
          <w:rFonts w:hAnsiTheme="minorHAnsi" w:cstheme="minorBidi"/>
          <w:sz w:val="21"/>
          <w:szCs w:val="22"/>
        </w:rPr>
      </w:pPr>
      <w:r>
        <w:fldChar w:fldCharType="begin"/>
      </w:r>
      <w:r>
        <w:instrText xml:space="preserve"> HYPERLINK \l "_Toc131005139" </w:instrText>
      </w:r>
      <w:r>
        <w:fldChar w:fldCharType="separate"/>
      </w:r>
      <w:r>
        <w:rPr>
          <w:rStyle w:val="26"/>
          <w:rFonts w:hint="eastAsia"/>
          <w:color w:val="auto"/>
        </w:rPr>
        <w:t>附表2：国土空间生态修复重点工程安排表</w:t>
      </w:r>
      <w:r>
        <w:rPr>
          <w:rFonts w:hint="eastAsia"/>
        </w:rPr>
        <w:tab/>
      </w:r>
      <w:r>
        <w:rPr>
          <w:rFonts w:hint="eastAsia"/>
        </w:rPr>
        <w:fldChar w:fldCharType="begin"/>
      </w:r>
      <w:r>
        <w:rPr>
          <w:rFonts w:hint="eastAsia"/>
        </w:rPr>
        <w:instrText xml:space="preserve"> PAGEREF _Toc131005139 \h </w:instrText>
      </w:r>
      <w:r>
        <w:rPr>
          <w:rFonts w:hint="eastAsia"/>
        </w:rPr>
        <w:fldChar w:fldCharType="separate"/>
      </w:r>
      <w:r>
        <w:t>62</w:t>
      </w:r>
      <w:r>
        <w:rPr>
          <w:rFonts w:hint="eastAsia"/>
        </w:rPr>
        <w:fldChar w:fldCharType="end"/>
      </w:r>
      <w:r>
        <w:rPr>
          <w:rFonts w:hint="eastAsia"/>
        </w:rPr>
        <w:fldChar w:fldCharType="end"/>
      </w:r>
    </w:p>
    <w:p w14:paraId="5987C05B">
      <w:pPr>
        <w:pStyle w:val="14"/>
        <w:rPr>
          <w:rFonts w:hAnsiTheme="minorHAnsi" w:cstheme="minorBidi"/>
          <w:b w:val="0"/>
          <w:bCs w:val="0"/>
          <w:kern w:val="2"/>
          <w:sz w:val="21"/>
          <w:szCs w:val="22"/>
        </w:rPr>
      </w:pPr>
      <w:r>
        <w:fldChar w:fldCharType="begin"/>
      </w:r>
      <w:r>
        <w:instrText xml:space="preserve"> HYPERLINK \l "_Toc131005140" </w:instrText>
      </w:r>
      <w:r>
        <w:fldChar w:fldCharType="separate"/>
      </w:r>
      <w:r>
        <w:rPr>
          <w:rStyle w:val="26"/>
          <w:rFonts w:hint="eastAsia"/>
          <w:color w:val="auto"/>
        </w:rPr>
        <w:t>附 图</w:t>
      </w:r>
      <w:r>
        <w:rPr>
          <w:rFonts w:hint="eastAsia"/>
        </w:rPr>
        <w:tab/>
      </w:r>
      <w:r>
        <w:rPr>
          <w:rFonts w:hint="eastAsia"/>
        </w:rPr>
        <w:fldChar w:fldCharType="begin"/>
      </w:r>
      <w:r>
        <w:rPr>
          <w:rFonts w:hint="eastAsia"/>
        </w:rPr>
        <w:instrText xml:space="preserve"> PAGEREF _Toc131005140 \h </w:instrText>
      </w:r>
      <w:r>
        <w:rPr>
          <w:rFonts w:hint="eastAsia"/>
        </w:rPr>
        <w:fldChar w:fldCharType="separate"/>
      </w:r>
      <w:r>
        <w:t>65</w:t>
      </w:r>
      <w:r>
        <w:rPr>
          <w:rFonts w:hint="eastAsia"/>
        </w:rPr>
        <w:fldChar w:fldCharType="end"/>
      </w:r>
      <w:r>
        <w:rPr>
          <w:rFonts w:hint="eastAsia"/>
        </w:rPr>
        <w:fldChar w:fldCharType="end"/>
      </w:r>
    </w:p>
    <w:p w14:paraId="3BA8AB54">
      <w:pPr>
        <w:pStyle w:val="17"/>
        <w:rPr>
          <w:rFonts w:hAnsiTheme="minorHAnsi" w:cstheme="minorBidi"/>
          <w:sz w:val="21"/>
          <w:szCs w:val="22"/>
        </w:rPr>
      </w:pPr>
      <w:r>
        <w:fldChar w:fldCharType="begin"/>
      </w:r>
      <w:r>
        <w:instrText xml:space="preserve"> HYPERLINK \l "_Toc131005141" </w:instrText>
      </w:r>
      <w:r>
        <w:fldChar w:fldCharType="separate"/>
      </w:r>
      <w:r>
        <w:rPr>
          <w:rStyle w:val="26"/>
          <w:rFonts w:hint="eastAsia"/>
          <w:color w:val="auto"/>
        </w:rPr>
        <w:t>附图1：南昌县生态修复总体格局图</w:t>
      </w:r>
      <w:r>
        <w:rPr>
          <w:rFonts w:hint="eastAsia"/>
        </w:rPr>
        <w:tab/>
      </w:r>
      <w:r>
        <w:rPr>
          <w:rFonts w:hint="eastAsia"/>
        </w:rPr>
        <w:fldChar w:fldCharType="begin"/>
      </w:r>
      <w:r>
        <w:rPr>
          <w:rFonts w:hint="eastAsia"/>
        </w:rPr>
        <w:instrText xml:space="preserve"> PAGEREF _Toc131005141 \h </w:instrText>
      </w:r>
      <w:r>
        <w:rPr>
          <w:rFonts w:hint="eastAsia"/>
        </w:rPr>
        <w:fldChar w:fldCharType="separate"/>
      </w:r>
      <w:r>
        <w:t>65</w:t>
      </w:r>
      <w:r>
        <w:rPr>
          <w:rFonts w:hint="eastAsia"/>
        </w:rPr>
        <w:fldChar w:fldCharType="end"/>
      </w:r>
      <w:r>
        <w:rPr>
          <w:rFonts w:hint="eastAsia"/>
        </w:rPr>
        <w:fldChar w:fldCharType="end"/>
      </w:r>
    </w:p>
    <w:p w14:paraId="2814F6B9">
      <w:pPr>
        <w:pStyle w:val="17"/>
        <w:rPr>
          <w:rFonts w:hAnsiTheme="minorHAnsi" w:cstheme="minorBidi"/>
          <w:sz w:val="21"/>
          <w:szCs w:val="22"/>
        </w:rPr>
      </w:pPr>
      <w:r>
        <w:fldChar w:fldCharType="begin"/>
      </w:r>
      <w:r>
        <w:instrText xml:space="preserve"> HYPERLINK \l "_Toc131005142" </w:instrText>
      </w:r>
      <w:r>
        <w:fldChar w:fldCharType="separate"/>
      </w:r>
      <w:r>
        <w:rPr>
          <w:rStyle w:val="26"/>
          <w:rFonts w:hint="eastAsia"/>
          <w:color w:val="auto"/>
        </w:rPr>
        <w:t>附图2：南昌县生态修复分区图</w:t>
      </w:r>
      <w:r>
        <w:rPr>
          <w:rFonts w:hint="eastAsia"/>
        </w:rPr>
        <w:tab/>
      </w:r>
      <w:r>
        <w:rPr>
          <w:rFonts w:hint="eastAsia"/>
        </w:rPr>
        <w:fldChar w:fldCharType="begin"/>
      </w:r>
      <w:r>
        <w:rPr>
          <w:rFonts w:hint="eastAsia"/>
        </w:rPr>
        <w:instrText xml:space="preserve"> PAGEREF _Toc131005142 \h </w:instrText>
      </w:r>
      <w:r>
        <w:rPr>
          <w:rFonts w:hint="eastAsia"/>
        </w:rPr>
        <w:fldChar w:fldCharType="separate"/>
      </w:r>
      <w:r>
        <w:t>66</w:t>
      </w:r>
      <w:r>
        <w:rPr>
          <w:rFonts w:hint="eastAsia"/>
        </w:rPr>
        <w:fldChar w:fldCharType="end"/>
      </w:r>
      <w:r>
        <w:rPr>
          <w:rFonts w:hint="eastAsia"/>
        </w:rPr>
        <w:fldChar w:fldCharType="end"/>
      </w:r>
    </w:p>
    <w:p w14:paraId="0CB4296D">
      <w:pPr>
        <w:pStyle w:val="17"/>
        <w:rPr>
          <w:rFonts w:hAnsiTheme="minorHAnsi" w:cstheme="minorBidi"/>
          <w:sz w:val="21"/>
          <w:szCs w:val="22"/>
        </w:rPr>
      </w:pPr>
      <w:r>
        <w:fldChar w:fldCharType="begin"/>
      </w:r>
      <w:r>
        <w:instrText xml:space="preserve"> HYPERLINK \l "_Toc131005143" </w:instrText>
      </w:r>
      <w:r>
        <w:fldChar w:fldCharType="separate"/>
      </w:r>
      <w:r>
        <w:rPr>
          <w:rStyle w:val="26"/>
          <w:rFonts w:hint="eastAsia"/>
          <w:color w:val="auto"/>
        </w:rPr>
        <w:t>附图3：南昌县生态修复工程项目布局图</w:t>
      </w:r>
      <w:r>
        <w:rPr>
          <w:rFonts w:hint="eastAsia"/>
        </w:rPr>
        <w:tab/>
      </w:r>
      <w:r>
        <w:rPr>
          <w:rFonts w:hint="eastAsia"/>
        </w:rPr>
        <w:fldChar w:fldCharType="begin"/>
      </w:r>
      <w:r>
        <w:rPr>
          <w:rFonts w:hint="eastAsia"/>
        </w:rPr>
        <w:instrText xml:space="preserve"> PAGEREF _Toc131005143 \h </w:instrText>
      </w:r>
      <w:r>
        <w:rPr>
          <w:rFonts w:hint="eastAsia"/>
        </w:rPr>
        <w:fldChar w:fldCharType="separate"/>
      </w:r>
      <w:r>
        <w:t>67</w:t>
      </w:r>
      <w:r>
        <w:rPr>
          <w:rFonts w:hint="eastAsia"/>
        </w:rPr>
        <w:fldChar w:fldCharType="end"/>
      </w:r>
      <w:r>
        <w:rPr>
          <w:rFonts w:hint="eastAsia"/>
        </w:rPr>
        <w:fldChar w:fldCharType="end"/>
      </w:r>
    </w:p>
    <w:p w14:paraId="52A0D2F5">
      <w:pPr>
        <w:pStyle w:val="17"/>
        <w:rPr>
          <w:rFonts w:hAnsiTheme="minorHAnsi" w:cstheme="minorBidi"/>
          <w:sz w:val="21"/>
          <w:szCs w:val="22"/>
        </w:rPr>
      </w:pPr>
      <w:r>
        <w:fldChar w:fldCharType="begin"/>
      </w:r>
      <w:r>
        <w:instrText xml:space="preserve"> HYPERLINK \l "_Toc131005144" </w:instrText>
      </w:r>
      <w:r>
        <w:fldChar w:fldCharType="separate"/>
      </w:r>
      <w:r>
        <w:rPr>
          <w:rStyle w:val="26"/>
          <w:rFonts w:hint="eastAsia"/>
          <w:color w:val="auto"/>
        </w:rPr>
        <w:t>附图4：南昌县遥感影像图</w:t>
      </w:r>
      <w:r>
        <w:rPr>
          <w:rFonts w:hint="eastAsia"/>
        </w:rPr>
        <w:tab/>
      </w:r>
      <w:r>
        <w:rPr>
          <w:rFonts w:hint="eastAsia"/>
        </w:rPr>
        <w:fldChar w:fldCharType="begin"/>
      </w:r>
      <w:r>
        <w:rPr>
          <w:rFonts w:hint="eastAsia"/>
        </w:rPr>
        <w:instrText xml:space="preserve"> PAGEREF _Toc131005144 \h </w:instrText>
      </w:r>
      <w:r>
        <w:rPr>
          <w:rFonts w:hint="eastAsia"/>
        </w:rPr>
        <w:fldChar w:fldCharType="separate"/>
      </w:r>
      <w:r>
        <w:t>68</w:t>
      </w:r>
      <w:r>
        <w:rPr>
          <w:rFonts w:hint="eastAsia"/>
        </w:rPr>
        <w:fldChar w:fldCharType="end"/>
      </w:r>
      <w:r>
        <w:rPr>
          <w:rFonts w:hint="eastAsia"/>
        </w:rPr>
        <w:fldChar w:fldCharType="end"/>
      </w:r>
    </w:p>
    <w:p w14:paraId="703B643A">
      <w:pPr>
        <w:pStyle w:val="17"/>
        <w:rPr>
          <w:rFonts w:hAnsiTheme="minorHAnsi" w:cstheme="minorBidi"/>
          <w:sz w:val="21"/>
          <w:szCs w:val="22"/>
        </w:rPr>
      </w:pPr>
      <w:r>
        <w:fldChar w:fldCharType="begin"/>
      </w:r>
      <w:r>
        <w:instrText xml:space="preserve"> HYPERLINK \l "_Toc131005145" </w:instrText>
      </w:r>
      <w:r>
        <w:fldChar w:fldCharType="separate"/>
      </w:r>
      <w:r>
        <w:rPr>
          <w:rStyle w:val="26"/>
          <w:rFonts w:hint="eastAsia"/>
          <w:color w:val="auto"/>
        </w:rPr>
        <w:t>附图5：南昌县国土空间用地现状图</w:t>
      </w:r>
      <w:r>
        <w:rPr>
          <w:rFonts w:hint="eastAsia"/>
        </w:rPr>
        <w:tab/>
      </w:r>
      <w:r>
        <w:rPr>
          <w:rFonts w:hint="eastAsia"/>
        </w:rPr>
        <w:fldChar w:fldCharType="begin"/>
      </w:r>
      <w:r>
        <w:rPr>
          <w:rFonts w:hint="eastAsia"/>
        </w:rPr>
        <w:instrText xml:space="preserve"> PAGEREF _Toc131005145 \h </w:instrText>
      </w:r>
      <w:r>
        <w:rPr>
          <w:rFonts w:hint="eastAsia"/>
        </w:rPr>
        <w:fldChar w:fldCharType="separate"/>
      </w:r>
      <w:r>
        <w:t>69</w:t>
      </w:r>
      <w:r>
        <w:rPr>
          <w:rFonts w:hint="eastAsia"/>
        </w:rPr>
        <w:fldChar w:fldCharType="end"/>
      </w:r>
      <w:r>
        <w:rPr>
          <w:rFonts w:hint="eastAsia"/>
        </w:rPr>
        <w:fldChar w:fldCharType="end"/>
      </w:r>
    </w:p>
    <w:p w14:paraId="659344FA">
      <w:pPr>
        <w:pStyle w:val="17"/>
        <w:rPr>
          <w:rFonts w:hAnsiTheme="minorHAnsi" w:cstheme="minorBidi"/>
          <w:sz w:val="21"/>
          <w:szCs w:val="22"/>
        </w:rPr>
      </w:pPr>
      <w:r>
        <w:fldChar w:fldCharType="begin"/>
      </w:r>
      <w:r>
        <w:instrText xml:space="preserve"> HYPERLINK \l "_Toc131005146" </w:instrText>
      </w:r>
      <w:r>
        <w:fldChar w:fldCharType="separate"/>
      </w:r>
      <w:r>
        <w:rPr>
          <w:rStyle w:val="26"/>
          <w:rFonts w:hint="eastAsia"/>
          <w:color w:val="auto"/>
        </w:rPr>
        <w:t>附图6：南昌县地形地貌图</w:t>
      </w:r>
      <w:r>
        <w:rPr>
          <w:rFonts w:hint="eastAsia"/>
        </w:rPr>
        <w:tab/>
      </w:r>
      <w:r>
        <w:rPr>
          <w:rFonts w:hint="eastAsia"/>
        </w:rPr>
        <w:fldChar w:fldCharType="begin"/>
      </w:r>
      <w:r>
        <w:rPr>
          <w:rFonts w:hint="eastAsia"/>
        </w:rPr>
        <w:instrText xml:space="preserve"> PAGEREF _Toc131005146 \h </w:instrText>
      </w:r>
      <w:r>
        <w:rPr>
          <w:rFonts w:hint="eastAsia"/>
        </w:rPr>
        <w:fldChar w:fldCharType="separate"/>
      </w:r>
      <w:r>
        <w:t>70</w:t>
      </w:r>
      <w:r>
        <w:rPr>
          <w:rFonts w:hint="eastAsia"/>
        </w:rPr>
        <w:fldChar w:fldCharType="end"/>
      </w:r>
      <w:r>
        <w:rPr>
          <w:rFonts w:hint="eastAsia"/>
        </w:rPr>
        <w:fldChar w:fldCharType="end"/>
      </w:r>
    </w:p>
    <w:p w14:paraId="44912D3F">
      <w:pPr>
        <w:pStyle w:val="17"/>
        <w:rPr>
          <w:rFonts w:hAnsiTheme="minorHAnsi" w:cstheme="minorBidi"/>
          <w:sz w:val="21"/>
          <w:szCs w:val="22"/>
        </w:rPr>
      </w:pPr>
      <w:r>
        <w:fldChar w:fldCharType="begin"/>
      </w:r>
      <w:r>
        <w:instrText xml:space="preserve"> HYPERLINK \l "_Toc131005147" </w:instrText>
      </w:r>
      <w:r>
        <w:fldChar w:fldCharType="separate"/>
      </w:r>
      <w:r>
        <w:rPr>
          <w:rStyle w:val="26"/>
          <w:rFonts w:hint="eastAsia"/>
          <w:color w:val="auto"/>
        </w:rPr>
        <w:t>附图7：南昌县森林资源现状图</w:t>
      </w:r>
      <w:r>
        <w:rPr>
          <w:rFonts w:hint="eastAsia"/>
        </w:rPr>
        <w:tab/>
      </w:r>
      <w:r>
        <w:rPr>
          <w:rFonts w:hint="eastAsia"/>
        </w:rPr>
        <w:fldChar w:fldCharType="begin"/>
      </w:r>
      <w:r>
        <w:rPr>
          <w:rFonts w:hint="eastAsia"/>
        </w:rPr>
        <w:instrText xml:space="preserve"> PAGEREF _Toc131005147 \h </w:instrText>
      </w:r>
      <w:r>
        <w:rPr>
          <w:rFonts w:hint="eastAsia"/>
        </w:rPr>
        <w:fldChar w:fldCharType="separate"/>
      </w:r>
      <w:r>
        <w:t>71</w:t>
      </w:r>
      <w:r>
        <w:rPr>
          <w:rFonts w:hint="eastAsia"/>
        </w:rPr>
        <w:fldChar w:fldCharType="end"/>
      </w:r>
      <w:r>
        <w:rPr>
          <w:rFonts w:hint="eastAsia"/>
        </w:rPr>
        <w:fldChar w:fldCharType="end"/>
      </w:r>
    </w:p>
    <w:p w14:paraId="47D475A5">
      <w:pPr>
        <w:pStyle w:val="17"/>
        <w:rPr>
          <w:rFonts w:hAnsiTheme="minorHAnsi" w:cstheme="minorBidi"/>
          <w:sz w:val="21"/>
          <w:szCs w:val="22"/>
        </w:rPr>
      </w:pPr>
      <w:r>
        <w:fldChar w:fldCharType="begin"/>
      </w:r>
      <w:r>
        <w:instrText xml:space="preserve"> HYPERLINK \l "_Toc131005148" </w:instrText>
      </w:r>
      <w:r>
        <w:fldChar w:fldCharType="separate"/>
      </w:r>
      <w:r>
        <w:rPr>
          <w:rStyle w:val="26"/>
          <w:rFonts w:hint="eastAsia"/>
          <w:color w:val="auto"/>
        </w:rPr>
        <w:t>附图8：南昌县生态功能重要性图</w:t>
      </w:r>
      <w:r>
        <w:rPr>
          <w:rFonts w:hint="eastAsia"/>
        </w:rPr>
        <w:tab/>
      </w:r>
      <w:r>
        <w:rPr>
          <w:rFonts w:hint="eastAsia"/>
        </w:rPr>
        <w:fldChar w:fldCharType="begin"/>
      </w:r>
      <w:r>
        <w:rPr>
          <w:rFonts w:hint="eastAsia"/>
        </w:rPr>
        <w:instrText xml:space="preserve"> PAGEREF _Toc131005148 \h </w:instrText>
      </w:r>
      <w:r>
        <w:rPr>
          <w:rFonts w:hint="eastAsia"/>
        </w:rPr>
        <w:fldChar w:fldCharType="separate"/>
      </w:r>
      <w:r>
        <w:t>72</w:t>
      </w:r>
      <w:r>
        <w:rPr>
          <w:rFonts w:hint="eastAsia"/>
        </w:rPr>
        <w:fldChar w:fldCharType="end"/>
      </w:r>
      <w:r>
        <w:rPr>
          <w:rFonts w:hint="eastAsia"/>
        </w:rPr>
        <w:fldChar w:fldCharType="end"/>
      </w:r>
    </w:p>
    <w:p w14:paraId="5F4D9585">
      <w:pPr>
        <w:pStyle w:val="17"/>
        <w:rPr>
          <w:rFonts w:hAnsiTheme="minorHAnsi" w:cstheme="minorBidi"/>
          <w:sz w:val="21"/>
          <w:szCs w:val="22"/>
        </w:rPr>
      </w:pPr>
      <w:r>
        <w:fldChar w:fldCharType="begin"/>
      </w:r>
      <w:r>
        <w:instrText xml:space="preserve"> HYPERLINK \l "_Toc131005149" </w:instrText>
      </w:r>
      <w:r>
        <w:fldChar w:fldCharType="separate"/>
      </w:r>
      <w:r>
        <w:rPr>
          <w:rStyle w:val="26"/>
          <w:rFonts w:hint="eastAsia"/>
          <w:color w:val="auto"/>
        </w:rPr>
        <w:t>附图9：南昌县生态脆弱性评价图</w:t>
      </w:r>
      <w:r>
        <w:rPr>
          <w:rFonts w:hint="eastAsia"/>
        </w:rPr>
        <w:tab/>
      </w:r>
      <w:r>
        <w:rPr>
          <w:rFonts w:hint="eastAsia"/>
        </w:rPr>
        <w:fldChar w:fldCharType="begin"/>
      </w:r>
      <w:r>
        <w:rPr>
          <w:rFonts w:hint="eastAsia"/>
        </w:rPr>
        <w:instrText xml:space="preserve"> PAGEREF _Toc131005149 \h </w:instrText>
      </w:r>
      <w:r>
        <w:rPr>
          <w:rFonts w:hint="eastAsia"/>
        </w:rPr>
        <w:fldChar w:fldCharType="separate"/>
      </w:r>
      <w:r>
        <w:t>73</w:t>
      </w:r>
      <w:r>
        <w:rPr>
          <w:rFonts w:hint="eastAsia"/>
        </w:rPr>
        <w:fldChar w:fldCharType="end"/>
      </w:r>
      <w:r>
        <w:rPr>
          <w:rFonts w:hint="eastAsia"/>
        </w:rPr>
        <w:fldChar w:fldCharType="end"/>
      </w:r>
    </w:p>
    <w:p w14:paraId="04F50417">
      <w:pPr>
        <w:pStyle w:val="17"/>
        <w:rPr>
          <w:rFonts w:hAnsiTheme="minorHAnsi" w:cstheme="minorBidi"/>
          <w:sz w:val="21"/>
          <w:szCs w:val="22"/>
        </w:rPr>
      </w:pPr>
      <w:r>
        <w:fldChar w:fldCharType="begin"/>
      </w:r>
      <w:r>
        <w:instrText xml:space="preserve"> HYPERLINK \l "_Toc131005150" </w:instrText>
      </w:r>
      <w:r>
        <w:fldChar w:fldCharType="separate"/>
      </w:r>
      <w:r>
        <w:rPr>
          <w:rStyle w:val="26"/>
          <w:rFonts w:hint="eastAsia"/>
          <w:color w:val="auto"/>
        </w:rPr>
        <w:t>附图10：南昌县生态保护红线图</w:t>
      </w:r>
      <w:r>
        <w:rPr>
          <w:rFonts w:hint="eastAsia"/>
        </w:rPr>
        <w:tab/>
      </w:r>
      <w:r>
        <w:rPr>
          <w:rFonts w:hint="eastAsia"/>
        </w:rPr>
        <w:fldChar w:fldCharType="begin"/>
      </w:r>
      <w:r>
        <w:rPr>
          <w:rFonts w:hint="eastAsia"/>
        </w:rPr>
        <w:instrText xml:space="preserve"> PAGEREF _Toc131005150 \h </w:instrText>
      </w:r>
      <w:r>
        <w:rPr>
          <w:rFonts w:hint="eastAsia"/>
        </w:rPr>
        <w:fldChar w:fldCharType="separate"/>
      </w:r>
      <w:r>
        <w:t>74</w:t>
      </w:r>
      <w:r>
        <w:rPr>
          <w:rFonts w:hint="eastAsia"/>
        </w:rPr>
        <w:fldChar w:fldCharType="end"/>
      </w:r>
      <w:r>
        <w:rPr>
          <w:rFonts w:hint="eastAsia"/>
        </w:rPr>
        <w:fldChar w:fldCharType="end"/>
      </w:r>
    </w:p>
    <w:p w14:paraId="70E69E4D">
      <w:pPr>
        <w:spacing w:line="360" w:lineRule="exact"/>
        <w:ind w:firstLine="560"/>
        <w:rPr>
          <w:szCs w:val="28"/>
        </w:rPr>
      </w:pPr>
      <w:r>
        <w:rPr>
          <w:rFonts w:hAnsi="黑体"/>
          <w:kern w:val="44"/>
          <w:szCs w:val="28"/>
        </w:rPr>
        <w:fldChar w:fldCharType="end"/>
      </w:r>
    </w:p>
    <w:p w14:paraId="0337FF10">
      <w:pPr>
        <w:pStyle w:val="37"/>
        <w:rPr>
          <w:color w:val="auto"/>
        </w:rPr>
        <w:sectPr>
          <w:headerReference r:id="rId11" w:type="default"/>
          <w:pgSz w:w="11906" w:h="16838"/>
          <w:pgMar w:top="1440" w:right="1800" w:bottom="1440" w:left="1800" w:header="851" w:footer="850" w:gutter="0"/>
          <w:pgNumType w:fmt="upperRoman" w:start="1"/>
          <w:cols w:space="720" w:num="1"/>
          <w:docGrid w:type="lines" w:linePitch="381" w:charSpace="0"/>
        </w:sectPr>
      </w:pPr>
    </w:p>
    <w:p w14:paraId="1B8C479E">
      <w:pPr>
        <w:spacing w:before="240" w:after="240" w:line="578" w:lineRule="auto"/>
        <w:ind w:firstLine="0" w:firstLineChars="0"/>
        <w:jc w:val="center"/>
        <w:outlineLvl w:val="0"/>
        <w:rPr>
          <w:rFonts w:ascii="黑体" w:hAnsi="黑体" w:eastAsia="黑体"/>
          <w:b/>
          <w:bCs/>
          <w:kern w:val="44"/>
          <w:sz w:val="36"/>
          <w:szCs w:val="36"/>
        </w:rPr>
      </w:pPr>
      <w:bookmarkStart w:id="3" w:name="_Hlk80604612"/>
      <w:bookmarkStart w:id="4" w:name="_Toc86257405"/>
      <w:bookmarkStart w:id="5" w:name="_Toc78481138"/>
      <w:bookmarkStart w:id="6" w:name="_Toc76497655"/>
      <w:bookmarkStart w:id="7" w:name="_Toc131005104"/>
      <w:bookmarkStart w:id="8" w:name="_Toc78481150"/>
      <w:bookmarkStart w:id="9" w:name="_Toc86257414"/>
      <w:r>
        <w:rPr>
          <w:rFonts w:hint="eastAsia" w:ascii="黑体" w:hAnsi="黑体" w:eastAsia="黑体"/>
          <w:b/>
          <w:bCs/>
          <w:kern w:val="44"/>
          <w:sz w:val="36"/>
          <w:szCs w:val="36"/>
        </w:rPr>
        <w:t>第一章</w:t>
      </w:r>
      <w:bookmarkEnd w:id="3"/>
      <w:r>
        <w:rPr>
          <w:rFonts w:hint="eastAsia" w:ascii="黑体" w:hAnsi="黑体" w:eastAsia="黑体"/>
          <w:b/>
          <w:bCs/>
          <w:kern w:val="44"/>
          <w:sz w:val="36"/>
          <w:szCs w:val="36"/>
        </w:rPr>
        <w:t xml:space="preserve"> </w:t>
      </w:r>
      <w:bookmarkEnd w:id="4"/>
      <w:bookmarkEnd w:id="5"/>
      <w:bookmarkEnd w:id="6"/>
      <w:r>
        <w:rPr>
          <w:rFonts w:ascii="黑体" w:hAnsi="黑体" w:eastAsia="黑体"/>
          <w:b/>
          <w:bCs/>
          <w:kern w:val="44"/>
          <w:sz w:val="36"/>
          <w:szCs w:val="36"/>
        </w:rPr>
        <w:t xml:space="preserve"> </w:t>
      </w:r>
      <w:r>
        <w:rPr>
          <w:rFonts w:hint="eastAsia" w:ascii="黑体" w:hAnsi="黑体" w:eastAsia="黑体"/>
          <w:b/>
          <w:bCs/>
          <w:kern w:val="44"/>
          <w:sz w:val="36"/>
          <w:szCs w:val="36"/>
        </w:rPr>
        <w:t>面临形势</w:t>
      </w:r>
      <w:bookmarkEnd w:id="7"/>
    </w:p>
    <w:p w14:paraId="7792B2E6">
      <w:pPr>
        <w:spacing w:before="260" w:after="260" w:line="560" w:lineRule="exact"/>
        <w:ind w:firstLine="0" w:firstLineChars="0"/>
        <w:jc w:val="center"/>
        <w:outlineLvl w:val="1"/>
        <w:rPr>
          <w:rFonts w:ascii="黑体" w:hAnsi="黑体" w:eastAsia="黑体" w:cs="仿宋"/>
          <w:b/>
          <w:bCs/>
          <w:sz w:val="32"/>
          <w:szCs w:val="32"/>
        </w:rPr>
      </w:pPr>
      <w:bookmarkStart w:id="10" w:name="_Toc131005105"/>
      <w:bookmarkStart w:id="11" w:name="_Toc86257413"/>
      <w:bookmarkStart w:id="12" w:name="_Toc86693298"/>
      <w:r>
        <w:rPr>
          <w:rFonts w:hint="eastAsia" w:ascii="黑体" w:hAnsi="黑体" w:eastAsia="黑体" w:cs="仿宋"/>
          <w:b/>
          <w:bCs/>
          <w:sz w:val="32"/>
          <w:szCs w:val="32"/>
        </w:rPr>
        <w:t>第一节</w:t>
      </w:r>
      <w:r>
        <w:rPr>
          <w:rFonts w:ascii="黑体" w:hAnsi="黑体" w:eastAsia="黑体" w:cs="仿宋"/>
          <w:b/>
          <w:bCs/>
          <w:sz w:val="32"/>
          <w:szCs w:val="32"/>
        </w:rPr>
        <w:t xml:space="preserve"> </w:t>
      </w:r>
      <w:r>
        <w:rPr>
          <w:rFonts w:hint="eastAsia" w:ascii="黑体" w:hAnsi="黑体" w:eastAsia="黑体" w:cs="仿宋"/>
          <w:b/>
          <w:bCs/>
          <w:sz w:val="32"/>
          <w:szCs w:val="32"/>
        </w:rPr>
        <w:t>形势与要求</w:t>
      </w:r>
      <w:bookmarkEnd w:id="10"/>
      <w:bookmarkEnd w:id="11"/>
      <w:bookmarkEnd w:id="12"/>
    </w:p>
    <w:p w14:paraId="536A3A0D">
      <w:pPr>
        <w:spacing w:before="0" w:after="0"/>
        <w:ind w:firstLine="560"/>
      </w:pPr>
      <w:r>
        <w:rPr>
          <w:rFonts w:hint="eastAsia"/>
        </w:rPr>
        <w:t>党的十八大以来，以习近平同志为核心的党中央高度重视生态文明建设，相继出台了多项重要政策文件，对国土空间生态修复提出明确要求和部署。2016年2月，习近平总书记在江西调研时指出，江西生态秀美、名胜甚多，绿色生态是最大财富、最大优势、最大品牌，一定要保护好，做好治山理水、显山露水的文章，走出一条经济发展和生态文明水平提高相辅相成、相得益彰的路子。2019年5月，习近平总书记在江西考察时主持召开推动中部地区崛起工作座谈会并发表重要讲话，提出要“坚持绿色发展，开展生态保护和修复，强化环境建设和治理，推动资源节约集约利用，建设绿色发展的美丽中部”。在听取江西省委、省政府工作汇报后，习近平总书记强调要加快构建生态文明体系，做好治山理水、显山露水的文章，打造美丽中国“江西样板”。</w:t>
      </w:r>
    </w:p>
    <w:p w14:paraId="129389E2">
      <w:pPr>
        <w:spacing w:before="0" w:after="0"/>
        <w:ind w:firstLine="560"/>
      </w:pPr>
      <w:r>
        <w:rPr>
          <w:rFonts w:hint="eastAsia"/>
        </w:rPr>
        <w:t>2021年11月23日，时任江西省委书记在中国共产党江西省第十五次代表大会上的报告中指出，今后五年要积极促进经济社会发展全面绿色转型，巩固提升生态环境质量，促进生态产品价值实现机制建设走在全国前列，以更高标准打造美丽中国“江西样板”：一是有力有序推进碳达峰碳中和；二是深入打好污染防治攻坚战；三是持续推进生态保护与修复；四是完善生态产品价值实现机制；五是健全生态文明制度体系。</w:t>
      </w:r>
    </w:p>
    <w:p w14:paraId="1E0B8E7C">
      <w:pPr>
        <w:spacing w:before="0" w:after="0"/>
        <w:ind w:firstLine="560"/>
      </w:pPr>
      <w:r>
        <w:rPr>
          <w:rFonts w:hint="eastAsia"/>
        </w:rPr>
        <w:t>在上述背景下，南昌县委、县政府高度重视生态文明建设工作，</w:t>
      </w:r>
      <w:r>
        <w:rPr>
          <w:rFonts w:hint="eastAsia" w:hAnsi="仿宋"/>
          <w:szCs w:val="28"/>
        </w:rPr>
        <w:t>“十三五”期间，南昌县</w:t>
      </w:r>
      <w:r>
        <w:t>以流域生态治理为抓手，启动</w:t>
      </w:r>
      <w:r>
        <w:rPr>
          <w:rFonts w:hint="eastAsia"/>
        </w:rPr>
        <w:t>了</w:t>
      </w:r>
      <w:r>
        <w:t>境内全域治水战略</w:t>
      </w:r>
      <w:r>
        <w:rPr>
          <w:rFonts w:hint="eastAsia"/>
        </w:rPr>
        <w:t>，开展了赣江、鄱阳湖岸线综合专项整治行动，重点推进了“蓝天”、“碧水”、“净土”保卫战，生态保护修复工作取得显著成效，生态环境水平持续向好。但与此同时，南昌县城区水环境、环鄱阳湖湿地、白虎岭森林等生态系统退化的趋势仍然存在，企业粗放型排放、农药化肥污染、城市生活废水污染等传统不合理的人类活动对生态系统的干扰尚未完全消除，生态保护和修复的压力依然突出。此外，随着南昌县步入新发展阶段，生态空间和生态系统还面临着新时代下经济新常态变化、乡村振兴诉求、新型城镇化转型等社会发展的重大挑战，国土空间生态修复工作被赋予了全新的职责和使命。</w:t>
      </w:r>
    </w:p>
    <w:p w14:paraId="2295280C">
      <w:pPr>
        <w:spacing w:before="260" w:after="260" w:line="560" w:lineRule="exact"/>
        <w:ind w:firstLine="0" w:firstLineChars="0"/>
        <w:jc w:val="center"/>
        <w:outlineLvl w:val="1"/>
        <w:rPr>
          <w:rFonts w:ascii="黑体" w:hAnsi="黑体" w:eastAsia="黑体" w:cs="仿宋"/>
          <w:b/>
          <w:bCs/>
          <w:sz w:val="32"/>
          <w:szCs w:val="32"/>
        </w:rPr>
      </w:pPr>
      <w:bookmarkStart w:id="13" w:name="_Toc131005106"/>
      <w:bookmarkStart w:id="14" w:name="_Toc86257410"/>
      <w:bookmarkStart w:id="15" w:name="_Toc78481140"/>
      <w:r>
        <w:rPr>
          <w:rFonts w:hint="eastAsia" w:ascii="黑体" w:hAnsi="黑体" w:eastAsia="黑体" w:cs="仿宋"/>
          <w:b/>
          <w:bCs/>
          <w:sz w:val="32"/>
          <w:szCs w:val="32"/>
        </w:rPr>
        <w:t>第二节</w:t>
      </w:r>
      <w:r>
        <w:rPr>
          <w:rFonts w:ascii="黑体" w:hAnsi="黑体" w:eastAsia="黑体" w:cs="仿宋"/>
          <w:b/>
          <w:bCs/>
          <w:sz w:val="32"/>
          <w:szCs w:val="32"/>
        </w:rPr>
        <w:t xml:space="preserve"> </w:t>
      </w:r>
      <w:bookmarkStart w:id="16" w:name="_Hlk128506151"/>
      <w:r>
        <w:rPr>
          <w:rFonts w:hint="eastAsia" w:ascii="黑体" w:hAnsi="黑体" w:eastAsia="黑体" w:cs="仿宋"/>
          <w:b/>
          <w:bCs/>
          <w:sz w:val="32"/>
          <w:szCs w:val="32"/>
        </w:rPr>
        <w:t>生态修复</w:t>
      </w:r>
      <w:bookmarkEnd w:id="16"/>
      <w:r>
        <w:rPr>
          <w:rFonts w:hint="eastAsia" w:ascii="黑体" w:hAnsi="黑体" w:eastAsia="黑体" w:cs="仿宋"/>
          <w:b/>
          <w:bCs/>
          <w:sz w:val="32"/>
          <w:szCs w:val="32"/>
        </w:rPr>
        <w:t>工作成效</w:t>
      </w:r>
      <w:bookmarkEnd w:id="13"/>
      <w:bookmarkEnd w:id="14"/>
      <w:bookmarkEnd w:id="15"/>
    </w:p>
    <w:p w14:paraId="09118D26">
      <w:pPr>
        <w:spacing w:before="0" w:after="0"/>
        <w:ind w:firstLine="560"/>
      </w:pPr>
      <w:r>
        <w:rPr>
          <w:rFonts w:hint="eastAsia"/>
        </w:rPr>
        <w:t>近年来，南昌县牢固树立“绿水青山就是金山银山”的生态理念，依托自身独特的山水生态系统，大力推进国土绿化、水土保持、河湖与湿地保护修复、生物多样性保护、土地综合整治等重大生态保护与修复工程，初步形成了具有南昌县特色的山水林田湖草沙综合治理模式，全县自然生态系统退化局势得到了有利控制与缓解，国土空间生态修复工作取得了较好的成效，</w:t>
      </w:r>
      <w:r>
        <w:t>生态整体环境质量保持良好</w:t>
      </w:r>
      <w:r>
        <w:rPr>
          <w:rFonts w:hint="eastAsia"/>
        </w:rPr>
        <w:t>发展</w:t>
      </w:r>
      <w:r>
        <w:t>态势</w:t>
      </w:r>
      <w:r>
        <w:rPr>
          <w:rFonts w:hint="eastAsia"/>
        </w:rPr>
        <w:t>。</w:t>
      </w:r>
    </w:p>
    <w:p w14:paraId="1807D972">
      <w:pPr>
        <w:spacing w:before="0" w:after="0"/>
        <w:ind w:firstLine="562"/>
      </w:pPr>
      <w:r>
        <w:rPr>
          <w:rFonts w:hint="eastAsia"/>
          <w:b/>
          <w:bCs/>
        </w:rPr>
        <w:t>——生态安全底线基本形成。</w:t>
      </w:r>
      <w:r>
        <w:rPr>
          <w:rFonts w:hint="eastAsia"/>
        </w:rPr>
        <w:t>以重点生态功能区为主体，南昌县共划定生态保护红线</w:t>
      </w:r>
      <w:r>
        <w:t>128.60平方公里，</w:t>
      </w:r>
      <w:r>
        <w:rPr>
          <w:rFonts w:hint="eastAsia"/>
        </w:rPr>
        <w:t>包含自然保护地</w:t>
      </w:r>
      <w:r>
        <w:t>118.78平方公里</w:t>
      </w:r>
      <w:r>
        <w:rPr>
          <w:rFonts w:hint="eastAsia"/>
        </w:rPr>
        <w:t>，基本建立了</w:t>
      </w:r>
      <w:r>
        <w:t>以澄碧湖</w:t>
      </w:r>
      <w:r>
        <w:rPr>
          <w:rFonts w:hint="eastAsia"/>
        </w:rPr>
        <w:t>、</w:t>
      </w:r>
      <w:r>
        <w:t>白虎岭</w:t>
      </w:r>
      <w:r>
        <w:rPr>
          <w:rFonts w:hint="eastAsia"/>
        </w:rPr>
        <w:t>、</w:t>
      </w:r>
      <w:r>
        <w:t>兴农沙漠</w:t>
      </w:r>
      <w:r>
        <w:rPr>
          <w:rFonts w:hint="eastAsia"/>
        </w:rPr>
        <w:t>、三湖湿地等为主体的自然保护地体系，县域内重要生态系统和生态功能重要区域得到有效保护，</w:t>
      </w:r>
      <w:r>
        <w:t>自然生态安全</w:t>
      </w:r>
      <w:r>
        <w:rPr>
          <w:rFonts w:hint="eastAsia"/>
        </w:rPr>
        <w:t>底线</w:t>
      </w:r>
      <w:r>
        <w:t>基本形成</w:t>
      </w:r>
      <w:r>
        <w:rPr>
          <w:rFonts w:hint="eastAsia"/>
        </w:rPr>
        <w:t>。</w:t>
      </w:r>
    </w:p>
    <w:p w14:paraId="372E9DF8">
      <w:pPr>
        <w:spacing w:before="0" w:after="0"/>
        <w:ind w:firstLine="562"/>
      </w:pPr>
      <w:r>
        <w:rPr>
          <w:rFonts w:hint="eastAsia"/>
          <w:b/>
          <w:bCs/>
        </w:rPr>
        <w:t>——湿地生态环境逐渐好转。</w:t>
      </w:r>
      <w:r>
        <w:rPr>
          <w:rFonts w:hint="eastAsia"/>
        </w:rPr>
        <w:t>南昌县十分重视湿地资源的保护修复，于2</w:t>
      </w:r>
      <w:r>
        <w:t>019</w:t>
      </w:r>
      <w:r>
        <w:rPr>
          <w:rFonts w:hint="eastAsia"/>
        </w:rPr>
        <w:t>年编制出台了湿地保护专项规划，实施了一批湿地保护项目，</w:t>
      </w:r>
      <w:r>
        <w:t>重要</w:t>
      </w:r>
      <w:r>
        <w:rPr>
          <w:rFonts w:hint="eastAsia"/>
        </w:rPr>
        <w:t>湿地</w:t>
      </w:r>
      <w:r>
        <w:t>得到有效保护</w:t>
      </w:r>
      <w:r>
        <w:rPr>
          <w:rFonts w:hint="eastAsia"/>
        </w:rPr>
        <w:t>。同时</w:t>
      </w:r>
      <w:r>
        <w:t>初步建立</w:t>
      </w:r>
      <w:r>
        <w:rPr>
          <w:rFonts w:hint="eastAsia"/>
        </w:rPr>
        <w:t>了</w:t>
      </w:r>
      <w:r>
        <w:t>包含湿地公园</w:t>
      </w:r>
      <w:r>
        <w:rPr>
          <w:rFonts w:hint="eastAsia"/>
        </w:rPr>
        <w:t>（按自然保护地整合优化后成果为：澄碧湖地方级湿地公园和江西南昌三湖地方级湿地公园2个）、小微湿地</w:t>
      </w:r>
      <w:r>
        <w:t>等多类型的</w:t>
      </w:r>
      <w:r>
        <w:rPr>
          <w:rFonts w:hint="eastAsia"/>
        </w:rPr>
        <w:t>湿地</w:t>
      </w:r>
      <w:r>
        <w:t>保护体系</w:t>
      </w:r>
      <w:r>
        <w:rPr>
          <w:rFonts w:hint="eastAsia"/>
        </w:rPr>
        <w:t>，系统保护了县域内湿地生物多样性和生态系统完整性。此外，通过实施</w:t>
      </w:r>
      <w:r>
        <w:t>退耕还湿、退养还湿</w:t>
      </w:r>
      <w:r>
        <w:rPr>
          <w:rFonts w:hint="eastAsia"/>
        </w:rPr>
        <w:t>以及湿地占补平衡等措施，全县湿地保护管理得到进一步强化，确保了湿地面积不减少、功能不降低，</w:t>
      </w:r>
      <w:r>
        <w:t>有效保护</w:t>
      </w:r>
      <w:r>
        <w:rPr>
          <w:rFonts w:hint="eastAsia"/>
        </w:rPr>
        <w:t>了</w:t>
      </w:r>
      <w:r>
        <w:t>湿地特色资源</w:t>
      </w:r>
      <w:r>
        <w:rPr>
          <w:rFonts w:hint="eastAsia"/>
        </w:rPr>
        <w:t>，湿地生态环境持续好转</w:t>
      </w:r>
      <w:r>
        <w:t>。</w:t>
      </w:r>
    </w:p>
    <w:p w14:paraId="51F20D92">
      <w:pPr>
        <w:spacing w:before="0" w:after="0"/>
        <w:ind w:firstLine="562"/>
      </w:pPr>
      <w:r>
        <w:rPr>
          <w:rFonts w:hint="eastAsia"/>
          <w:b/>
          <w:bCs/>
        </w:rPr>
        <w:t>——水生态环境明显改善。</w:t>
      </w:r>
      <w:r>
        <w:t>近年来</w:t>
      </w:r>
      <w:r>
        <w:rPr>
          <w:rFonts w:hint="eastAsia"/>
        </w:rPr>
        <w:t>，</w:t>
      </w:r>
      <w:r>
        <w:t>南昌县不断加强</w:t>
      </w:r>
      <w:r>
        <w:rPr>
          <w:rFonts w:hint="eastAsia"/>
        </w:rPr>
        <w:t>水生态环境治理，扎实推进河湖长制，“河湖卫士”“清河行动”等专项活动长效开展，并</w:t>
      </w:r>
      <w:r>
        <w:t>出台《南昌县(小蓝经开区)水环境综合治理三年行动实施方案》</w:t>
      </w:r>
      <w:r>
        <w:rPr>
          <w:rFonts w:hint="eastAsia"/>
        </w:rPr>
        <w:t>，</w:t>
      </w:r>
      <w:r>
        <w:t>河湖环境面貌</w:t>
      </w:r>
      <w:r>
        <w:rPr>
          <w:rFonts w:hint="eastAsia"/>
        </w:rPr>
        <w:t>得到</w:t>
      </w:r>
      <w:r>
        <w:t>持续改善</w:t>
      </w:r>
      <w:r>
        <w:rPr>
          <w:rFonts w:hint="eastAsia"/>
        </w:rPr>
        <w:t>。</w:t>
      </w:r>
      <w:r>
        <w:t>通过实施河道综合整治，</w:t>
      </w:r>
      <w:r>
        <w:rPr>
          <w:rFonts w:hint="eastAsia"/>
        </w:rPr>
        <w:t>全</w:t>
      </w:r>
      <w:r>
        <w:t>县骨干河道基本实现防洪蓄水标准化治理</w:t>
      </w:r>
      <w:r>
        <w:rPr>
          <w:rFonts w:hint="eastAsia"/>
        </w:rPr>
        <w:t>，</w:t>
      </w:r>
      <w:r>
        <w:t>城区河道实现景观休闲生态化治理</w:t>
      </w:r>
      <w:r>
        <w:rPr>
          <w:rFonts w:hint="eastAsia"/>
        </w:rPr>
        <w:t>，</w:t>
      </w:r>
      <w:r>
        <w:t>镇村河道实现清污去杂通畅化治理</w:t>
      </w:r>
      <w:r>
        <w:rPr>
          <w:rFonts w:hint="eastAsia"/>
        </w:rPr>
        <w:t>。此外，</w:t>
      </w:r>
      <w:r>
        <w:t>冈上、泾口、南新、向塘等乡镇集镇污水处理厂</w:t>
      </w:r>
      <w:r>
        <w:rPr>
          <w:rFonts w:hint="eastAsia"/>
        </w:rPr>
        <w:t>已</w:t>
      </w:r>
      <w:r>
        <w:t>投入运营</w:t>
      </w:r>
      <w:r>
        <w:rPr>
          <w:rFonts w:hint="eastAsia"/>
        </w:rPr>
        <w:t>，基本实现农村生活污水处理全覆盖目标，有</w:t>
      </w:r>
      <w:r>
        <w:t>效改善农村环境面貌，提高了饮用水水源地环境质量</w:t>
      </w:r>
      <w:r>
        <w:rPr>
          <w:rFonts w:hint="eastAsia"/>
        </w:rPr>
        <w:t>。目前</w:t>
      </w:r>
      <w:r>
        <w:t>，全县饮用</w:t>
      </w:r>
      <w:r>
        <w:rPr>
          <w:rFonts w:hint="eastAsia"/>
        </w:rPr>
        <w:t>水源地水质达标率</w:t>
      </w:r>
      <w:r>
        <w:t>为100%</w:t>
      </w:r>
      <w:r>
        <w:rPr>
          <w:rFonts w:hint="eastAsia"/>
        </w:rPr>
        <w:t>，抚河西支新联断面达到III类水质，</w:t>
      </w:r>
      <w:r>
        <w:t>12个国控、省控以及县界断面水质优良比例为91.7%</w:t>
      </w:r>
      <w:r>
        <w:rPr>
          <w:rFonts w:hint="eastAsia"/>
        </w:rPr>
        <w:t>，</w:t>
      </w:r>
      <w:r>
        <w:t>主要河流已无垃圾漂浮物，</w:t>
      </w:r>
      <w:r>
        <w:rPr>
          <w:rFonts w:hint="eastAsia"/>
        </w:rPr>
        <w:t>河岸无规模垃圾堆放，基本消除黑臭水体</w:t>
      </w:r>
      <w:r>
        <w:t>，河流</w:t>
      </w:r>
      <w:r>
        <w:rPr>
          <w:rFonts w:hint="eastAsia"/>
        </w:rPr>
        <w:t>湖泊</w:t>
      </w:r>
      <w:r>
        <w:t>水质得到了明显改善</w:t>
      </w:r>
      <w:r>
        <w:rPr>
          <w:rFonts w:hint="eastAsia"/>
        </w:rPr>
        <w:t>。</w:t>
      </w:r>
    </w:p>
    <w:p w14:paraId="6B107441">
      <w:pPr>
        <w:spacing w:before="0" w:after="0"/>
        <w:ind w:firstLine="562"/>
      </w:pPr>
      <w:r>
        <w:rPr>
          <w:rFonts w:hint="eastAsia"/>
          <w:b/>
          <w:bCs/>
        </w:rPr>
        <w:t>——森林质量稳步提升。</w:t>
      </w:r>
      <w:r>
        <w:rPr>
          <w:rFonts w:hint="eastAsia"/>
        </w:rPr>
        <w:t>南昌县</w:t>
      </w:r>
      <w:r>
        <w:t>自2018年全面推行林长制以来，按照分级负责原则，</w:t>
      </w:r>
      <w:r>
        <w:rPr>
          <w:rFonts w:hint="eastAsia"/>
        </w:rPr>
        <w:t>全县</w:t>
      </w:r>
      <w:r>
        <w:t>建立了县、乡、村</w:t>
      </w:r>
      <w:r>
        <w:rPr>
          <w:rFonts w:hint="eastAsia"/>
        </w:rPr>
        <w:t>三</w:t>
      </w:r>
      <w:r>
        <w:t>级林长组织体系</w:t>
      </w:r>
      <w:r>
        <w:rPr>
          <w:rFonts w:hint="eastAsia"/>
        </w:rPr>
        <w:t>，</w:t>
      </w:r>
      <w:r>
        <w:t>加强</w:t>
      </w:r>
      <w:r>
        <w:rPr>
          <w:rFonts w:hint="eastAsia"/>
        </w:rPr>
        <w:t>了</w:t>
      </w:r>
      <w:r>
        <w:t>森林资源保护、发展和</w:t>
      </w:r>
      <w:r>
        <w:rPr>
          <w:rFonts w:hint="eastAsia"/>
        </w:rPr>
        <w:t>管理。通过深入推进国土造林绿化，重点实施森林创建工程、森林“四化”建设及乡村道路景观廊道绿化工程、生态修复和小游园绿化工程、森林资源保护工程，保证了全县森林资源稳定增长，林木蓄积持续增加，有效改善了局部生态环境，提高了林草覆盖率。同时积极推进水土流失防治，做好森林水土保持监测和科技推广工作，促进了森林生态环境向良性循环发展，全县森林生态质量稳步提升。</w:t>
      </w:r>
    </w:p>
    <w:p w14:paraId="5A0A2DDA">
      <w:pPr>
        <w:spacing w:before="0" w:after="0"/>
        <w:ind w:firstLine="562"/>
      </w:pPr>
      <w:r>
        <w:rPr>
          <w:rFonts w:hint="eastAsia"/>
          <w:b/>
          <w:bCs/>
        </w:rPr>
        <w:t>——生物多样性不断丰富。</w:t>
      </w:r>
      <w:r>
        <w:rPr>
          <w:rFonts w:hint="eastAsia"/>
        </w:rPr>
        <w:t>南昌县高度重视生物多样性的保护，通过建立自然保护区实行就地保护、制定生物多样性保护政策、开展生物多样性保护方面的宣传和教育等一系列保护措施，全县生物多样性日益丰富，生物资源呈现稳中向好的发展趋势。截止至2</w:t>
      </w:r>
      <w:r>
        <w:t>020</w:t>
      </w:r>
      <w:r>
        <w:rPr>
          <w:rFonts w:hint="eastAsia"/>
        </w:rPr>
        <w:t>年，全县共有国家一级保护鸟类10种，国家二级保护鸟类38种，省级重点保护鸟类90余种，生物多样性保护取得显著成效，促进了人与自然和谐共生。</w:t>
      </w:r>
    </w:p>
    <w:p w14:paraId="61FFC7D3">
      <w:pPr>
        <w:spacing w:before="0" w:after="0"/>
        <w:ind w:firstLine="562"/>
      </w:pPr>
      <w:r>
        <w:rPr>
          <w:rFonts w:hint="eastAsia"/>
          <w:b/>
          <w:bCs/>
        </w:rPr>
        <w:t>——农田生态功能日益优化。</w:t>
      </w:r>
      <w:r>
        <w:t>“十三五”期间，</w:t>
      </w:r>
      <w:r>
        <w:rPr>
          <w:rFonts w:hint="eastAsia"/>
        </w:rPr>
        <w:t>南昌县</w:t>
      </w:r>
      <w:r>
        <w:t>持续加大农田基础设施建设力度，</w:t>
      </w:r>
      <w:r>
        <w:rPr>
          <w:rFonts w:hint="eastAsia"/>
        </w:rPr>
        <w:t>有序推进国土综合整治，全面落实了《土壤污染防治行动计划》，全域土壤环境风险得到基本管控。截止至</w:t>
      </w:r>
      <w:r>
        <w:t>2020</w:t>
      </w:r>
      <w:r>
        <w:rPr>
          <w:rFonts w:hint="eastAsia"/>
        </w:rPr>
        <w:t>年底，全县</w:t>
      </w:r>
      <w:r>
        <w:t>新建高标准农田52.50万亩</w:t>
      </w:r>
      <w:r>
        <w:rPr>
          <w:rFonts w:hint="eastAsia"/>
        </w:rPr>
        <w:t>，累计建成</w:t>
      </w:r>
      <w:r>
        <w:t>97.94万亩</w:t>
      </w:r>
      <w:r>
        <w:rPr>
          <w:rFonts w:hint="eastAsia"/>
        </w:rPr>
        <w:t>，</w:t>
      </w:r>
      <w:r>
        <w:t>新增高效节水灌溉面积5万多亩，</w:t>
      </w:r>
      <w:r>
        <w:rPr>
          <w:rFonts w:hint="eastAsia"/>
        </w:rPr>
        <w:t>已建成高标准农田耕地质量平均等级提升</w:t>
      </w:r>
      <w:r>
        <w:t>0.5个等级</w:t>
      </w:r>
      <w:r>
        <w:rPr>
          <w:rFonts w:hint="eastAsia"/>
        </w:rPr>
        <w:t>，</w:t>
      </w:r>
      <w:r>
        <w:t>低洼易涝、渍害低产田得到了较好治理</w:t>
      </w:r>
      <w:r>
        <w:rPr>
          <w:rFonts w:hint="eastAsia"/>
        </w:rPr>
        <w:t>，</w:t>
      </w:r>
      <w:r>
        <w:t>进一步优化了农田工程设施与工程布局</w:t>
      </w:r>
      <w:r>
        <w:rPr>
          <w:rFonts w:hint="eastAsia"/>
        </w:rPr>
        <w:t>。此外，南昌县不断</w:t>
      </w:r>
      <w:r>
        <w:t>完善农田道路、沟渠水网、防冲护岸等基础设施，</w:t>
      </w:r>
      <w:r>
        <w:rPr>
          <w:rFonts w:hint="eastAsia"/>
        </w:rPr>
        <w:t>农田生态系统逐渐</w:t>
      </w:r>
      <w:r>
        <w:t>改善，农田防护体系逐步完善，增强了农田防灾抗灾减灾能力，巩固和提升了</w:t>
      </w:r>
      <w:r>
        <w:rPr>
          <w:rFonts w:hint="eastAsia"/>
        </w:rPr>
        <w:t>农田综合</w:t>
      </w:r>
      <w:r>
        <w:t>生产能力。</w:t>
      </w:r>
    </w:p>
    <w:p w14:paraId="51216C72">
      <w:pPr>
        <w:spacing w:before="260" w:after="260" w:line="560" w:lineRule="exact"/>
        <w:ind w:firstLine="0" w:firstLineChars="0"/>
        <w:jc w:val="center"/>
        <w:outlineLvl w:val="1"/>
        <w:rPr>
          <w:rFonts w:ascii="黑体" w:hAnsi="黑体" w:eastAsia="黑体" w:cs="仿宋"/>
          <w:b/>
          <w:bCs/>
          <w:sz w:val="32"/>
          <w:szCs w:val="32"/>
        </w:rPr>
      </w:pPr>
      <w:bookmarkStart w:id="17" w:name="_Toc131005107"/>
      <w:r>
        <w:rPr>
          <w:rFonts w:hint="eastAsia" w:ascii="黑体" w:hAnsi="黑体" w:eastAsia="黑体" w:cs="仿宋"/>
          <w:b/>
          <w:bCs/>
          <w:sz w:val="32"/>
          <w:szCs w:val="32"/>
        </w:rPr>
        <w:t>第三节</w:t>
      </w:r>
      <w:r>
        <w:rPr>
          <w:rFonts w:ascii="黑体" w:hAnsi="黑体" w:eastAsia="黑体" w:cs="仿宋"/>
          <w:b/>
          <w:bCs/>
          <w:sz w:val="32"/>
          <w:szCs w:val="32"/>
        </w:rPr>
        <w:t xml:space="preserve"> </w:t>
      </w:r>
      <w:r>
        <w:rPr>
          <w:rFonts w:hint="eastAsia" w:ascii="黑体" w:hAnsi="黑体" w:eastAsia="黑体" w:cs="仿宋"/>
          <w:b/>
          <w:bCs/>
          <w:sz w:val="32"/>
          <w:szCs w:val="32"/>
        </w:rPr>
        <w:t>机遇与挑战</w:t>
      </w:r>
      <w:bookmarkEnd w:id="17"/>
    </w:p>
    <w:p w14:paraId="0D79CCDD">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18" w:name="_Toc127908936"/>
      <w:r>
        <w:rPr>
          <w:rFonts w:hint="eastAsia" w:ascii="黑体" w:hAnsi="黑体" w:eastAsia="黑体" w:cs="黑体"/>
          <w:b w:val="0"/>
          <w:sz w:val="30"/>
          <w:szCs w:val="30"/>
        </w:rPr>
        <w:t>一、发展机遇</w:t>
      </w:r>
      <w:bookmarkEnd w:id="18"/>
    </w:p>
    <w:p w14:paraId="2FF63C16">
      <w:pPr>
        <w:spacing w:before="0" w:after="0"/>
        <w:ind w:firstLine="562"/>
      </w:pPr>
      <w:r>
        <w:rPr>
          <w:rFonts w:hint="eastAsia"/>
          <w:b/>
          <w:bCs/>
        </w:rPr>
        <w:t>——是保障长江重点生态区生态安全的需要。</w:t>
      </w:r>
      <w:r>
        <w:rPr>
          <w:rFonts w:hint="eastAsia"/>
        </w:rPr>
        <w:t>南昌县滨临鄱阳湖，根据《全国重要生态系统保护和修复重大工程总体规划</w:t>
      </w:r>
      <w:r>
        <w:t>(2021-2035年)》</w:t>
      </w:r>
      <w:r>
        <w:rPr>
          <w:rFonts w:hint="eastAsia"/>
        </w:rPr>
        <w:t>和</w:t>
      </w:r>
      <w:r>
        <w:t>《长江重点生态区（含川滇生态屏障）生态保护和修复重大工程建设规划(2021-2035年)》</w:t>
      </w:r>
      <w:r>
        <w:rPr>
          <w:rFonts w:hint="eastAsia"/>
        </w:rPr>
        <w:t>，全县位于</w:t>
      </w:r>
      <w:r>
        <w:t>长江重点生态区</w:t>
      </w:r>
      <w:r>
        <w:rPr>
          <w:rFonts w:hint="eastAsia"/>
        </w:rPr>
        <w:t>，</w:t>
      </w:r>
      <w:r>
        <w:rPr>
          <w:rFonts w:hint="eastAsia"/>
          <w:szCs w:val="28"/>
        </w:rPr>
        <w:t>生态位置突出</w:t>
      </w:r>
      <w:r>
        <w:rPr>
          <w:rFonts w:hint="eastAsia"/>
        </w:rPr>
        <w:t>。开展</w:t>
      </w:r>
      <w:bookmarkStart w:id="19" w:name="_Hlk126836504"/>
      <w:r>
        <w:rPr>
          <w:rFonts w:hint="eastAsia"/>
        </w:rPr>
        <w:t>国土空间生态保护修复</w:t>
      </w:r>
      <w:bookmarkEnd w:id="19"/>
      <w:r>
        <w:rPr>
          <w:rFonts w:hint="eastAsia"/>
        </w:rPr>
        <w:t>工作，是对长江重点生态区生态环境进行保护修复的具体要求，同时也是践行江西省委、省政府绿色发展理念，加强生态文明建设的重要举措，是江西推进长江经济带建设、维护长江流域生态安全的有力支撑，更是顺应人民群众期盼、建设美丽中国江西样板和南昌示范的时代要求。</w:t>
      </w:r>
    </w:p>
    <w:p w14:paraId="7BB604F0">
      <w:pPr>
        <w:spacing w:before="0" w:after="0"/>
        <w:ind w:firstLine="562"/>
      </w:pPr>
      <w:r>
        <w:rPr>
          <w:rFonts w:hint="eastAsia"/>
          <w:b/>
          <w:bCs/>
        </w:rPr>
        <w:t>——是促进南昌县高质量发展的必然选择。</w:t>
      </w:r>
      <w:r>
        <w:rPr>
          <w:rFonts w:hint="eastAsia"/>
        </w:rPr>
        <w:t>南昌县地处江西省生态文明试验区核心地带，同时位于大南昌生态都市圈核心区，“十三五”期间，通过大力推进山水林田湖草综合治理与修复工作，全县生态系统得到有效保护与修复。随着南昌县</w:t>
      </w:r>
      <w:r>
        <w:t>经济社会迈入高质量转型发展的新时代</w:t>
      </w:r>
      <w:r>
        <w:rPr>
          <w:rFonts w:hint="eastAsia"/>
        </w:rPr>
        <w:t>，</w:t>
      </w:r>
      <w:r>
        <w:t>生态文明建设被提高到空前的历史高度和战略地位，国土空间生态修复已成为落实生态文明建设发展战略的主要工作内容</w:t>
      </w:r>
      <w:r>
        <w:rPr>
          <w:rFonts w:hint="eastAsia"/>
        </w:rPr>
        <w:t>。因此，编制国土空间生态修复规划是优化全县农业、生态、城镇空间格局，打造高颜值城市，创造高品质生活，推进高效能治理的重要抓手。通过推进全域国土空间生态保护修复，统筹协调国土空间开发与保护，优化全县国土空间生态安全格局，实现南昌县高质量发展。</w:t>
      </w:r>
    </w:p>
    <w:p w14:paraId="353775AA">
      <w:pPr>
        <w:spacing w:before="0" w:after="0"/>
        <w:ind w:firstLine="562"/>
      </w:pPr>
      <w:r>
        <w:rPr>
          <w:rFonts w:hint="eastAsia"/>
          <w:b/>
          <w:bCs/>
        </w:rPr>
        <w:t>——是优化南昌县生态格局的重要保障。</w:t>
      </w:r>
      <w:r>
        <w:rPr>
          <w:rFonts w:hint="eastAsia"/>
        </w:rPr>
        <w:t>南昌县生态资源条件优越，总体呈现“一鄱两脉，百湖千塘”的生态布局，编制国土空间生态修复规划，是优化南昌县现有特色生态格局的有力保障。</w:t>
      </w:r>
      <w:r>
        <w:t>通过规划实施，</w:t>
      </w:r>
      <w:r>
        <w:rPr>
          <w:rFonts w:hint="eastAsia"/>
        </w:rPr>
        <w:t>可统筹全县生态系统的整体保护与修复，</w:t>
      </w:r>
      <w:r>
        <w:t>支撑构建国土空间开发保护新格局，有利于形成安全高效的生产空间、舒适宜居的生活空间、碧水蓝天的生态空间</w:t>
      </w:r>
      <w:r>
        <w:rPr>
          <w:rFonts w:hint="eastAsia"/>
        </w:rPr>
        <w:t>，促进城乡建设空间与自然山水格局融合发展。</w:t>
      </w:r>
    </w:p>
    <w:p w14:paraId="72EAC512">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20" w:name="_Toc127908937"/>
      <w:r>
        <w:rPr>
          <w:rFonts w:hint="eastAsia" w:ascii="黑体" w:hAnsi="黑体" w:eastAsia="黑体" w:cs="黑体"/>
          <w:b w:val="0"/>
          <w:sz w:val="30"/>
          <w:szCs w:val="30"/>
        </w:rPr>
        <w:t>二、面临挑战</w:t>
      </w:r>
      <w:bookmarkEnd w:id="20"/>
    </w:p>
    <w:p w14:paraId="4D5D7B50">
      <w:pPr>
        <w:ind w:firstLine="562"/>
      </w:pPr>
      <w:r>
        <w:rPr>
          <w:rFonts w:hint="eastAsia"/>
          <w:b/>
          <w:bCs/>
        </w:rPr>
        <w:t>——</w:t>
      </w:r>
      <w:r>
        <w:rPr>
          <w:b/>
          <w:bCs/>
        </w:rPr>
        <w:t>生态保护与资源开发的矛盾依然</w:t>
      </w:r>
      <w:r>
        <w:rPr>
          <w:rFonts w:hint="eastAsia"/>
          <w:b/>
          <w:bCs/>
        </w:rPr>
        <w:t>存在</w:t>
      </w:r>
      <w:r>
        <w:rPr>
          <w:b/>
          <w:bCs/>
        </w:rPr>
        <w:t>。</w:t>
      </w:r>
      <w:r>
        <w:rPr>
          <w:rFonts w:hint="eastAsia"/>
        </w:rPr>
        <w:t>南昌县</w:t>
      </w:r>
      <w:r>
        <w:t>正处于“两个一百年”奋斗目标历史交汇期，吸引力不断加强</w:t>
      </w:r>
      <w:r>
        <w:rPr>
          <w:rFonts w:hint="eastAsia"/>
        </w:rPr>
        <w:t>。随着</w:t>
      </w:r>
      <w:r>
        <w:t>城镇化</w:t>
      </w:r>
      <w:r>
        <w:rPr>
          <w:rFonts w:hint="eastAsia"/>
        </w:rPr>
        <w:t>的</w:t>
      </w:r>
      <w:r>
        <w:t>快速推进，城镇常住人口持续增长，自然资源刚性需求不断增加，干扰生态系统健康稳定的外在胁迫因素增多</w:t>
      </w:r>
      <w:r>
        <w:rPr>
          <w:rFonts w:hint="eastAsia"/>
        </w:rPr>
        <w:t>，生态空间被大量挤占，全县</w:t>
      </w:r>
      <w:r>
        <w:t>面临促进经济增长和生态治理的两难选择</w:t>
      </w:r>
      <w:r>
        <w:rPr>
          <w:rFonts w:hint="eastAsia"/>
        </w:rPr>
        <w:t>，</w:t>
      </w:r>
      <w:r>
        <w:t>开发与保护的矛盾依然存在</w:t>
      </w:r>
      <w:r>
        <w:rPr>
          <w:rFonts w:hint="eastAsia"/>
        </w:rPr>
        <w:t>。因此，妥善处理好保护与发展的关系，以优质的自然生态环境条件支撑促进全县经济社会发展全面绿色转型，是当前新发展格局下的必然选择。</w:t>
      </w:r>
    </w:p>
    <w:p w14:paraId="309427C4">
      <w:pPr>
        <w:ind w:firstLine="562"/>
      </w:pPr>
      <w:r>
        <w:rPr>
          <w:rFonts w:hint="eastAsia"/>
          <w:b/>
          <w:bCs/>
        </w:rPr>
        <w:t>——新时期对生态保护修复提出更高要求。</w:t>
      </w:r>
      <w:r>
        <w:t>2018年召开的全国生态环境保护大会正式确立了习近平生态文明思想，为新时期生态保护修复工作提供了思想指引和方法路径</w:t>
      </w:r>
      <w:r>
        <w:rPr>
          <w:rFonts w:hint="eastAsia"/>
        </w:rPr>
        <w:t>，</w:t>
      </w:r>
      <w:r>
        <w:t>凸显了生态安全在建设社会主义现代化国家中的极端重要性，也对生态保护修复工作提出了更高、更明确的要求</w:t>
      </w:r>
      <w:r>
        <w:rPr>
          <w:rFonts w:hint="eastAsia"/>
        </w:rPr>
        <w:t>。南昌县地处全国主体功能区规划中的鄱阳湖生态经济区以</w:t>
      </w:r>
      <w:r>
        <w:t>及</w:t>
      </w:r>
      <w:bookmarkStart w:id="21" w:name="_Hlk128646695"/>
      <w:r>
        <w:rPr>
          <w:rFonts w:hint="eastAsia"/>
        </w:rPr>
        <w:t>“双重”规划中的长江重点生态区</w:t>
      </w:r>
      <w:bookmarkEnd w:id="21"/>
      <w:r>
        <w:rPr>
          <w:rFonts w:hint="eastAsia"/>
        </w:rPr>
        <w:t>，</w:t>
      </w:r>
      <w:r>
        <w:t>生态区位十分重要</w:t>
      </w:r>
      <w:r>
        <w:rPr>
          <w:rFonts w:hint="eastAsia"/>
        </w:rPr>
        <w:t>，</w:t>
      </w:r>
      <w:r>
        <w:t>开展区内的生态保护修复工作是保障国家生态安全的需要，</w:t>
      </w:r>
      <w:r>
        <w:rPr>
          <w:rFonts w:hint="eastAsia"/>
        </w:rPr>
        <w:t>也</w:t>
      </w:r>
      <w:r>
        <w:t>是推动长江经济带发展战略和构建生态屏障的重要支撑。立足</w:t>
      </w:r>
      <w:r>
        <w:rPr>
          <w:rFonts w:hint="eastAsia"/>
        </w:rPr>
        <w:t>南昌县</w:t>
      </w:r>
      <w:r>
        <w:t>作为国家和</w:t>
      </w:r>
      <w:r>
        <w:rPr>
          <w:rFonts w:hint="eastAsia"/>
        </w:rPr>
        <w:t>江西</w:t>
      </w:r>
      <w:r>
        <w:t>省重点生态功能区的县情实际，走“生态优先、绿色发展”之路，谱写生态建设和经济社会协调发展的新篇章，对</w:t>
      </w:r>
      <w:r>
        <w:rPr>
          <w:rFonts w:hint="eastAsia"/>
        </w:rPr>
        <w:t>南昌</w:t>
      </w:r>
      <w:r>
        <w:t>县生态保护修复工作提出了更高要求。</w:t>
      </w:r>
    </w:p>
    <w:p w14:paraId="6F58F544">
      <w:pPr>
        <w:ind w:firstLine="562"/>
        <w:rPr>
          <w:b/>
          <w:bCs/>
        </w:rPr>
      </w:pPr>
      <w:r>
        <w:rPr>
          <w:rFonts w:hint="eastAsia"/>
          <w:b/>
          <w:bCs/>
        </w:rPr>
        <w:t>——生态保护修复工作还存在较多不足。</w:t>
      </w:r>
      <w:r>
        <w:rPr>
          <w:rFonts w:hint="eastAsia"/>
        </w:rPr>
        <w:t>目前南昌县生态保护修复工作管理体制和协调联动机制尚不完善，跟落实整体保护、系统修复、综合治理的理念和要求还有很大差距，部分生态修复工程建设目标、建设内容和治理措施相对单一，忽视了生态系统演替规律和内在机理，生态保护修复的系统性不足，生态系统服务功能提升成效不明显。此外，南昌县在生态保护和修复标准体系建设、新技术推广、科研成果转化等方面的能力还比较欠缺，关键技术和措施的系统性和长效性不足，科技支撑保障能力较为薄弱，部门间信息共享机制也尚未建立，制约了生态修复工程的顺利实施。</w:t>
      </w:r>
    </w:p>
    <w:p w14:paraId="69E3029D">
      <w:pPr>
        <w:spacing w:before="0" w:after="0"/>
        <w:ind w:firstLine="562"/>
      </w:pPr>
      <w:r>
        <w:rPr>
          <w:rFonts w:hint="eastAsia"/>
          <w:b/>
          <w:bCs/>
        </w:rPr>
        <w:t>——“两山”转化新通道不畅。</w:t>
      </w:r>
      <w:r>
        <w:rPr>
          <w:rFonts w:hint="eastAsia"/>
        </w:rPr>
        <w:t>生态保护和修复工作具有明显的公益性、外部性，受盈利能力低、项目风险多等影响，当前政府、企业和社会共同参与生态修复治理的体系和机制尚未建立，市场化、多元化生态保护补偿机制也不完善。与此同时，南昌县绿水青山与金山银山相互促进和良性循环机制尚未形成，</w:t>
      </w:r>
      <w:r>
        <w:t>重点生态功能区缺乏将生态资源转化为经济价值的机制，生态红利释放不足。“两山”转化政策覆盖面不足，缺乏财政激励资金和实质性绿色金融支持政策，资本和市场主体不能有效进入，规划引领作用不强，政策引导途径有待进一步优化。生态产品价值实现路径仍处于探索阶段，全</w:t>
      </w:r>
      <w:r>
        <w:rPr>
          <w:rFonts w:hint="eastAsia"/>
        </w:rPr>
        <w:t>县</w:t>
      </w:r>
      <w:r>
        <w:t>极为丰富的自然风景、自然资源价值尚未得到充分转化。</w:t>
      </w:r>
    </w:p>
    <w:p w14:paraId="7A0B9470">
      <w:pPr>
        <w:spacing w:before="0" w:after="0"/>
        <w:ind w:firstLine="0" w:firstLineChars="0"/>
        <w:rPr>
          <w:rFonts w:hAnsi="仿宋"/>
          <w:szCs w:val="28"/>
        </w:rPr>
      </w:pPr>
    </w:p>
    <w:p w14:paraId="47775722">
      <w:pPr>
        <w:spacing w:before="0" w:after="0"/>
        <w:ind w:firstLine="0" w:firstLineChars="0"/>
        <w:rPr>
          <w:rFonts w:hAnsi="仿宋"/>
          <w:szCs w:val="28"/>
        </w:rPr>
        <w:sectPr>
          <w:footerReference r:id="rId12" w:type="default"/>
          <w:pgSz w:w="11906" w:h="16838"/>
          <w:pgMar w:top="1440" w:right="1800" w:bottom="1440" w:left="1800" w:header="851" w:footer="992" w:gutter="0"/>
          <w:pgNumType w:start="1"/>
          <w:cols w:space="720" w:num="1"/>
          <w:docGrid w:type="lines" w:linePitch="312" w:charSpace="0"/>
        </w:sectPr>
      </w:pPr>
    </w:p>
    <w:p w14:paraId="10766F1F">
      <w:pPr>
        <w:spacing w:before="240" w:after="240" w:line="578" w:lineRule="auto"/>
        <w:ind w:firstLine="0" w:firstLineChars="0"/>
        <w:jc w:val="center"/>
        <w:outlineLvl w:val="0"/>
        <w:rPr>
          <w:rFonts w:ascii="黑体" w:hAnsi="黑体" w:eastAsia="黑体"/>
          <w:b/>
          <w:bCs/>
          <w:kern w:val="44"/>
          <w:sz w:val="36"/>
          <w:szCs w:val="36"/>
        </w:rPr>
      </w:pPr>
      <w:bookmarkStart w:id="22" w:name="_Toc131005108"/>
      <w:r>
        <w:rPr>
          <w:rFonts w:hint="eastAsia" w:ascii="黑体" w:hAnsi="黑体" w:eastAsia="黑体"/>
          <w:b/>
          <w:bCs/>
          <w:kern w:val="44"/>
          <w:sz w:val="36"/>
          <w:szCs w:val="36"/>
        </w:rPr>
        <w:t>第二章</w:t>
      </w:r>
      <w:r>
        <w:rPr>
          <w:rFonts w:ascii="黑体" w:hAnsi="黑体" w:eastAsia="黑体"/>
          <w:b/>
          <w:bCs/>
          <w:kern w:val="44"/>
          <w:sz w:val="36"/>
          <w:szCs w:val="36"/>
        </w:rPr>
        <w:t xml:space="preserve">  生态现状与</w:t>
      </w:r>
      <w:r>
        <w:rPr>
          <w:rFonts w:hint="eastAsia" w:ascii="黑体" w:hAnsi="黑体" w:eastAsia="黑体"/>
          <w:b/>
          <w:bCs/>
          <w:kern w:val="44"/>
          <w:sz w:val="36"/>
          <w:szCs w:val="36"/>
        </w:rPr>
        <w:t>主要</w:t>
      </w:r>
      <w:r>
        <w:rPr>
          <w:rFonts w:ascii="黑体" w:hAnsi="黑体" w:eastAsia="黑体"/>
          <w:b/>
          <w:bCs/>
          <w:kern w:val="44"/>
          <w:sz w:val="36"/>
          <w:szCs w:val="36"/>
        </w:rPr>
        <w:t>问题</w:t>
      </w:r>
      <w:bookmarkEnd w:id="8"/>
      <w:bookmarkEnd w:id="9"/>
      <w:bookmarkEnd w:id="22"/>
    </w:p>
    <w:p w14:paraId="6E683E79">
      <w:pPr>
        <w:spacing w:before="260" w:after="260" w:line="560" w:lineRule="exact"/>
        <w:ind w:firstLine="0" w:firstLineChars="0"/>
        <w:jc w:val="center"/>
        <w:outlineLvl w:val="1"/>
        <w:rPr>
          <w:rFonts w:ascii="黑体" w:hAnsi="黑体" w:eastAsia="黑体" w:cs="仿宋"/>
          <w:b/>
          <w:bCs/>
          <w:sz w:val="32"/>
          <w:szCs w:val="32"/>
        </w:rPr>
      </w:pPr>
      <w:bookmarkStart w:id="23" w:name="_Toc86257415"/>
      <w:bookmarkStart w:id="24" w:name="_Toc78481151"/>
      <w:bookmarkStart w:id="25" w:name="_Toc131005109"/>
      <w:r>
        <w:rPr>
          <w:rFonts w:hint="eastAsia" w:ascii="黑体" w:hAnsi="黑体" w:eastAsia="黑体" w:cs="仿宋"/>
          <w:b/>
          <w:bCs/>
          <w:sz w:val="32"/>
          <w:szCs w:val="32"/>
        </w:rPr>
        <w:t>第一节</w:t>
      </w:r>
      <w:r>
        <w:rPr>
          <w:rFonts w:ascii="黑体" w:hAnsi="黑体" w:eastAsia="黑体" w:cs="仿宋"/>
          <w:b/>
          <w:bCs/>
          <w:sz w:val="32"/>
          <w:szCs w:val="32"/>
        </w:rPr>
        <w:t xml:space="preserve"> 自然</w:t>
      </w:r>
      <w:r>
        <w:rPr>
          <w:rFonts w:hint="eastAsia" w:ascii="黑体" w:hAnsi="黑体" w:eastAsia="黑体" w:cs="仿宋"/>
          <w:b/>
          <w:bCs/>
          <w:sz w:val="32"/>
          <w:szCs w:val="32"/>
        </w:rPr>
        <w:t>地理与生态现状</w:t>
      </w:r>
      <w:bookmarkEnd w:id="23"/>
      <w:bookmarkEnd w:id="24"/>
      <w:bookmarkEnd w:id="25"/>
    </w:p>
    <w:p w14:paraId="15F4FDD1">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r>
        <w:rPr>
          <w:rFonts w:hint="eastAsia" w:ascii="黑体" w:hAnsi="黑体" w:eastAsia="黑体" w:cs="黑体"/>
          <w:b w:val="0"/>
          <w:sz w:val="30"/>
          <w:szCs w:val="30"/>
        </w:rPr>
        <w:t>一、</w:t>
      </w:r>
      <w:bookmarkStart w:id="26" w:name="_Hlk128650484"/>
      <w:r>
        <w:rPr>
          <w:rFonts w:hint="eastAsia" w:ascii="黑体" w:hAnsi="黑体" w:eastAsia="黑体" w:cs="黑体"/>
          <w:b w:val="0"/>
          <w:sz w:val="30"/>
          <w:szCs w:val="30"/>
        </w:rPr>
        <w:t>自然地理条件</w:t>
      </w:r>
    </w:p>
    <w:bookmarkEnd w:id="26"/>
    <w:p w14:paraId="5CB2C20E">
      <w:pPr>
        <w:spacing w:before="0" w:after="0"/>
        <w:ind w:firstLine="560"/>
      </w:pPr>
      <w:r>
        <w:rPr>
          <w:rFonts w:hint="eastAsia"/>
        </w:rPr>
        <w:t>南昌县隶属江西省南昌市，处于江西省中部偏北、南昌市南部，东接进贤县，南邻丰城市，西与红谷滩区、北与新建区隔赣江相望，东北滨鄱阳湖，三面环抱南昌市主城区，区位条件突出，自然地理条件优越。</w:t>
      </w:r>
    </w:p>
    <w:p w14:paraId="3FC8EF9E">
      <w:pPr>
        <w:spacing w:before="0" w:after="0"/>
        <w:ind w:firstLine="562"/>
      </w:pPr>
      <w:r>
        <w:rPr>
          <w:rFonts w:hint="eastAsia"/>
          <w:b/>
          <w:bCs/>
        </w:rPr>
        <w:t>——位于赣抚平原，地势平坦。</w:t>
      </w:r>
      <w:r>
        <w:rPr>
          <w:rFonts w:hint="eastAsia"/>
        </w:rPr>
        <w:t>南昌县地处赣江、抚河入鄱阳湖三角洲地带，地势南高北低，缓慢倾斜，隆起与下降变化微小。境内最高点白虎岭海拔183.2米；最低点三洞湖海拔13米，全县地形可分为剥蚀岗阜地形、侵蚀堆积平原地形、湖滨堆积平原地形。剥蚀岗阜地形分布于南部黄马乡樟木岭和黄马蚕桑场一带，海拔25—65米，占境内总面积的2%；侵蚀堆积平原地形分布于赣江、抚河两侧，海拔19—28米，占境内总面积的55%；湖滨堆积平原地形分布于赣江、抚河入湖口处的泾口乡至昌东镇滁槎村以北和蒋巷镇以东地带，地势平坦开阔，河湖港汊纵横交错，海拔14—19米，占境内总面积的43%。</w:t>
      </w:r>
    </w:p>
    <w:p w14:paraId="16A07BA1">
      <w:pPr>
        <w:spacing w:before="0" w:after="0"/>
        <w:ind w:firstLine="562"/>
      </w:pPr>
      <w:r>
        <w:rPr>
          <w:rFonts w:hint="eastAsia"/>
          <w:b/>
          <w:bCs/>
        </w:rPr>
        <w:t>——雨水充沛，气候条件良好。</w:t>
      </w:r>
      <w:r>
        <w:rPr>
          <w:rFonts w:hint="eastAsia"/>
        </w:rPr>
        <w:t>南昌县属于亚热带湿润季风气候，气候温和，四季分明，雨水充沛，日照充足。受地理位置及季风的影响，形成了“春季多雨伴低温，春末初夏多洪涝，盛夏酷热又干旱，秋风气爽雨水少，冬季寒冷霜期短”的气候特点。</w:t>
      </w:r>
      <w:r>
        <w:t>夏季多偏南风，冬季多偏北风，年平均气温17℃-18℃，年</w:t>
      </w:r>
      <w:r>
        <w:rPr>
          <w:rFonts w:hint="eastAsia"/>
        </w:rPr>
        <w:t>平均</w:t>
      </w:r>
      <w:r>
        <w:t>降雨量1600-1700毫米，</w:t>
      </w:r>
      <w:r>
        <w:rPr>
          <w:rFonts w:hint="eastAsia"/>
        </w:rPr>
        <w:t>年平均霜期</w:t>
      </w:r>
      <w:r>
        <w:t>89天</w:t>
      </w:r>
      <w:r>
        <w:rPr>
          <w:rFonts w:hint="eastAsia"/>
        </w:rPr>
        <w:t>，</w:t>
      </w:r>
      <w:r>
        <w:t>年</w:t>
      </w:r>
      <w:r>
        <w:rPr>
          <w:rFonts w:hint="eastAsia"/>
        </w:rPr>
        <w:t>日</w:t>
      </w:r>
      <w:r>
        <w:t>照时间1723-1820小时，日照率为40%。</w:t>
      </w:r>
      <w:r>
        <w:rPr>
          <w:rFonts w:hint="eastAsia"/>
        </w:rPr>
        <w:t>全县</w:t>
      </w:r>
      <w:r>
        <w:t>整体气候湿润温和，适宜居住，雨热条件与作物生长旺季匹配较好，有利于农作物生长，但存在高温干旱、低温降雪冷害、暴雨洪涝台风等气象灾害风险。</w:t>
      </w:r>
    </w:p>
    <w:p w14:paraId="665908F3">
      <w:pPr>
        <w:spacing w:before="0" w:after="0"/>
        <w:ind w:firstLine="562"/>
      </w:pPr>
      <w:r>
        <w:rPr>
          <w:rFonts w:hint="eastAsia"/>
          <w:b/>
          <w:bCs/>
        </w:rPr>
        <w:t>——河流纵横交错，水资源丰沛。</w:t>
      </w:r>
      <w:r>
        <w:rPr>
          <w:rFonts w:hint="eastAsia"/>
        </w:rPr>
        <w:t>南昌县境内水系发达，赣江、抚河、清丰山溪穿过境内，总长310千米。</w:t>
      </w:r>
      <w:r>
        <w:t>沟渠纵横交错，湖泊、池塘星罗棋布</w:t>
      </w:r>
      <w:r>
        <w:rPr>
          <w:rFonts w:hint="eastAsia"/>
        </w:rPr>
        <w:t>，大小河流共237条，总长度1870千米，流域面积1587.2平方千米，河网密度1千米/平方千米，平均入境径流量约</w:t>
      </w:r>
      <w:r>
        <w:t>870亿立方米，</w:t>
      </w:r>
      <w:r>
        <w:rPr>
          <w:rFonts w:hint="eastAsia"/>
        </w:rPr>
        <w:t>年排涝量480.4亿立方米，年最大排涝量636.5亿立方米。赣江从南至北流经县域，境内段长136千米，流域面积461.8平方千米，年均流量2160立方米/秒，主要支流有赣江北支、赣江中支、赣江南支。抚河从南至北流经境内，境内段长48千米，流域面积122.9千米，年均流量482立方米/秒。清丰山溪从西南至东北流经南昌县，境内段长126千米，流域面积1002.5千米，年均流量68.8立方米/秒。</w:t>
      </w:r>
    </w:p>
    <w:p w14:paraId="0ED81B0B">
      <w:pPr>
        <w:spacing w:before="0" w:after="0"/>
        <w:ind w:firstLine="562"/>
        <w:rPr>
          <w:rFonts w:ascii="Times New Roman" w:hAnsi="Times New Roman"/>
          <w:szCs w:val="28"/>
        </w:rPr>
      </w:pPr>
      <w:r>
        <w:rPr>
          <w:rFonts w:hint="eastAsia" w:ascii="Times New Roman" w:hAnsi="Times New Roman"/>
          <w:b/>
          <w:bCs/>
          <w:szCs w:val="28"/>
        </w:rPr>
        <w:t>——水热条件优越，适于多种动植物生长。</w:t>
      </w:r>
      <w:r>
        <w:rPr>
          <w:rFonts w:hint="eastAsia"/>
        </w:rPr>
        <w:t>南昌县地处亚热带湿润地区，植物生长环境条件优越，适合各类植物生长，</w:t>
      </w:r>
      <w:r>
        <w:t>共有植物120余种</w:t>
      </w:r>
      <w:r>
        <w:rPr>
          <w:rFonts w:hint="eastAsia"/>
        </w:rPr>
        <w:t>。其植物区系组成以杉科、松科、芸香科、楠科为主，</w:t>
      </w:r>
      <w:r>
        <w:t>其次为山茶科、杨柳科、胡桃科、大戟科、禾本科、玄参科等一些种属组成（全县50个科、80个属、103个树种</w:t>
      </w:r>
      <w:r>
        <w:rPr>
          <w:rFonts w:hint="eastAsia"/>
        </w:rPr>
        <w:t>）</w:t>
      </w:r>
      <w:r>
        <w:t>。</w:t>
      </w:r>
      <w:r>
        <w:rPr>
          <w:rFonts w:hint="eastAsia"/>
        </w:rPr>
        <w:t>境内</w:t>
      </w:r>
      <w:r>
        <w:t>滨湖地区的草甸、季节性草洲多是禾本科草、青芬、苔草、马柳等10余种草</w:t>
      </w:r>
      <w:r>
        <w:rPr>
          <w:rFonts w:hint="eastAsia"/>
        </w:rPr>
        <w:t>，水生植物种类丰富，为候鸟提供了优质的栖息地环境</w:t>
      </w:r>
      <w:r>
        <w:t>。全县</w:t>
      </w:r>
      <w:r>
        <w:rPr>
          <w:rFonts w:hint="eastAsia"/>
        </w:rPr>
        <w:t>野生珍稀保护</w:t>
      </w:r>
      <w:r>
        <w:t>动物资源种类丰富，动物240余种，其中国家重点保护动物9种，以</w:t>
      </w:r>
      <w:r>
        <w:rPr>
          <w:rFonts w:hint="eastAsia"/>
        </w:rPr>
        <w:t>江</w:t>
      </w:r>
      <w:r>
        <w:t>豚、白鹤最为珍贵</w:t>
      </w:r>
      <w:r>
        <w:rPr>
          <w:rFonts w:hint="eastAsia"/>
        </w:rPr>
        <w:t>。</w:t>
      </w:r>
    </w:p>
    <w:p w14:paraId="2B9E3DA5">
      <w:pPr>
        <w:spacing w:before="0" w:after="0"/>
        <w:ind w:firstLine="562"/>
        <w:rPr>
          <w:szCs w:val="28"/>
        </w:rPr>
      </w:pPr>
      <w:r>
        <w:rPr>
          <w:rFonts w:hint="eastAsia"/>
          <w:b/>
          <w:bCs/>
          <w:szCs w:val="28"/>
        </w:rPr>
        <w:t>——土壤优质肥沃，适合作物生长。</w:t>
      </w:r>
      <w:r>
        <w:rPr>
          <w:rFonts w:hint="eastAsia"/>
          <w:szCs w:val="28"/>
        </w:rPr>
        <w:t>南昌县土壤可划分为水稻土、红壤、潮土3个土类，潴育型水稻土、潜育型水稻土、侧渗漂洗型水稻土、耕作红壤、自然红壤、红壤性土和潮土7个亚类，20个土属、69个土种。水稻土是南昌县主要耕作土壤，约占总耕地面积的</w:t>
      </w:r>
      <w:r>
        <w:rPr>
          <w:szCs w:val="28"/>
        </w:rPr>
        <w:t>94%。红壤和潮土各占总耕地面积3%，红壤的成</w:t>
      </w:r>
      <w:r>
        <w:rPr>
          <w:rFonts w:hint="eastAsia"/>
          <w:szCs w:val="28"/>
        </w:rPr>
        <w:t>土母质主要是潮砂，其含沙量大，有机质和有机养分分解快，</w:t>
      </w:r>
      <w:r>
        <w:rPr>
          <w:rFonts w:hint="eastAsia"/>
        </w:rPr>
        <w:t>加上气候的影响，土壤</w:t>
      </w:r>
      <w:r>
        <w:rPr>
          <w:rFonts w:hint="eastAsia"/>
          <w:szCs w:val="28"/>
        </w:rPr>
        <w:t>保水保肥力差、抗旱能力相对较差。</w:t>
      </w:r>
    </w:p>
    <w:p w14:paraId="0000B990">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r>
        <w:rPr>
          <w:rFonts w:hint="eastAsia" w:ascii="黑体" w:hAnsi="黑体" w:eastAsia="黑体" w:cs="黑体"/>
          <w:b w:val="0"/>
          <w:sz w:val="30"/>
          <w:szCs w:val="30"/>
        </w:rPr>
        <w:t>二、生态现状</w:t>
      </w:r>
    </w:p>
    <w:p w14:paraId="5AF17F46">
      <w:pPr>
        <w:spacing w:before="0" w:after="0"/>
        <w:ind w:firstLine="560"/>
      </w:pPr>
      <w:r>
        <w:rPr>
          <w:rFonts w:hint="eastAsia"/>
        </w:rPr>
        <w:t>南昌县地处赣江、抚河尾闾地区，鄱阳湖的冲积平原及浅丘地带，滨临我国第一大淡水湖——鄱阳湖，位于全国</w:t>
      </w:r>
      <w:r>
        <w:t>7大重点生态区之一的长江重点生态区（含川滇生态屏障），</w:t>
      </w:r>
      <w:r>
        <w:rPr>
          <w:rFonts w:hint="eastAsia"/>
        </w:rPr>
        <w:t>同时属于全国重要生态功能区中的洞庭湖、鄱阳湖等河湖湿地保护修复区，是鄱阳湖生物多样性保护优先区域，生态重要性突出。</w:t>
      </w:r>
    </w:p>
    <w:p w14:paraId="6030287D">
      <w:pPr>
        <w:spacing w:before="0" w:after="0"/>
        <w:ind w:firstLine="560"/>
      </w:pPr>
      <w:r>
        <w:rPr>
          <w:rFonts w:hint="eastAsia"/>
        </w:rPr>
        <w:t>——</w:t>
      </w:r>
      <w:r>
        <w:rPr>
          <w:b/>
          <w:bCs/>
        </w:rPr>
        <w:t>生态资源丰富，</w:t>
      </w:r>
      <w:bookmarkStart w:id="27" w:name="_Hlk128663096"/>
      <w:r>
        <w:rPr>
          <w:b/>
          <w:bCs/>
        </w:rPr>
        <w:t>自然环境本底良好</w:t>
      </w:r>
      <w:bookmarkEnd w:id="27"/>
      <w:r>
        <w:rPr>
          <w:b/>
          <w:bCs/>
        </w:rPr>
        <w:t>。</w:t>
      </w:r>
      <w:r>
        <w:rPr>
          <w:rFonts w:hint="eastAsia"/>
        </w:rPr>
        <w:t>南昌县生态系统类型丰富，分布有湿地、河湖、森林、农田和城市等多种生态系统。全县生态红线总面积</w:t>
      </w:r>
      <w:r>
        <w:t>128.60平方公里，占国土总面积的7.10%</w:t>
      </w:r>
      <w:r>
        <w:rPr>
          <w:rFonts w:hint="eastAsia"/>
          <w:szCs w:val="28"/>
        </w:rPr>
        <w:t>，</w:t>
      </w:r>
      <w:r>
        <w:rPr>
          <w:rFonts w:hint="eastAsia"/>
        </w:rPr>
        <w:t>包括重要湿地、自然保护地及生态公益林等</w:t>
      </w:r>
      <w:r>
        <w:t>。</w:t>
      </w:r>
      <w:r>
        <w:rPr>
          <w:rFonts w:hint="eastAsia"/>
        </w:rPr>
        <w:t>共划定自然保护地</w:t>
      </w:r>
      <w:r>
        <w:t>118.78平方公里，占全县国土面积达到6.56%</w:t>
      </w:r>
      <w:r>
        <w:rPr>
          <w:rFonts w:hint="eastAsia"/>
        </w:rPr>
        <w:t>。形成了自然保护区、湿地公园、森林公园等多种形式的保护体系，</w:t>
      </w:r>
      <w:r>
        <w:t>包括</w:t>
      </w:r>
      <w:r>
        <w:rPr>
          <w:rFonts w:hint="eastAsia"/>
        </w:rPr>
        <w:t>三</w:t>
      </w:r>
      <w:r>
        <w:t>湖</w:t>
      </w:r>
      <w:r>
        <w:rPr>
          <w:rFonts w:hint="eastAsia"/>
        </w:rPr>
        <w:t>地方级</w:t>
      </w:r>
      <w:r>
        <w:t>湿地公园、澄碧湖</w:t>
      </w:r>
      <w:r>
        <w:rPr>
          <w:rFonts w:hint="eastAsia"/>
        </w:rPr>
        <w:t>地方级</w:t>
      </w:r>
      <w:r>
        <w:t>湿地公园、兴农沙漠</w:t>
      </w:r>
      <w:r>
        <w:rPr>
          <w:rFonts w:hint="eastAsia"/>
        </w:rPr>
        <w:t>地方级</w:t>
      </w:r>
      <w:r>
        <w:t>森林公园、白虎岭</w:t>
      </w:r>
      <w:r>
        <w:rPr>
          <w:rFonts w:hint="eastAsia"/>
        </w:rPr>
        <w:t>地方级</w:t>
      </w:r>
      <w:r>
        <w:t>森林公园</w:t>
      </w:r>
      <w:r>
        <w:rPr>
          <w:rFonts w:hint="eastAsia"/>
        </w:rPr>
        <w:t>等，自然环境本底较好。</w:t>
      </w:r>
    </w:p>
    <w:p w14:paraId="70958106">
      <w:pPr>
        <w:spacing w:before="0" w:after="0"/>
        <w:ind w:firstLine="560"/>
      </w:pPr>
      <w:r>
        <w:rPr>
          <w:rFonts w:hint="eastAsia"/>
        </w:rPr>
        <w:t>——</w:t>
      </w:r>
      <w:r>
        <w:rPr>
          <w:rFonts w:hint="eastAsia"/>
          <w:b/>
          <w:bCs/>
        </w:rPr>
        <w:t>生态保护重要性高，生态价值突出。</w:t>
      </w:r>
      <w:r>
        <w:rPr>
          <w:rFonts w:hint="eastAsia"/>
        </w:rPr>
        <w:t>根据《南昌市“三线一单”生态环境分区管控方案》，南昌县共划定优先保护单元2个，面积198.63</w:t>
      </w:r>
      <w:r>
        <w:t>平方公里</w:t>
      </w:r>
      <w:r>
        <w:rPr>
          <w:rFonts w:hint="eastAsia"/>
        </w:rPr>
        <w:t>，主要涉及泾口乡、幽兰镇、塔城乡等抚河水体以及蒋巷镇滨湖区，该区域以生态环境保护为主，生态保护红线、自然保护区、饮用水水源保护区等生态环境敏感区面积占比较高，生态价值突出。此外根据南昌县生态脆弱性评价结果，全县生态较脆弱区主要分布在三湖湿地、大沙湖、芳溪湖等区域，极脆弱区主要分布在南部白虎岭；根据生态功能重要性评价结果，全县生态功能极重要区主要分布于白虎岭、三湖湿地、青岚湖西岸等区域，生态功能重要区主要分布在赣江、抚河等河湖水域，所涉及区域</w:t>
      </w:r>
      <w:r>
        <w:t>生态功能重要，</w:t>
      </w:r>
      <w:r>
        <w:rPr>
          <w:rFonts w:hint="eastAsia"/>
        </w:rPr>
        <w:t>具有强大的</w:t>
      </w:r>
      <w:r>
        <w:t>生态调节功能</w:t>
      </w:r>
      <w:r>
        <w:rPr>
          <w:rFonts w:hint="eastAsia"/>
        </w:rPr>
        <w:t>，在调节区域气候、维持生物多样性、保持水源涵养等方面具有重要作用</w:t>
      </w:r>
      <w:r>
        <w:t>。</w:t>
      </w:r>
    </w:p>
    <w:p w14:paraId="4FF9C5DB">
      <w:pPr>
        <w:spacing w:before="260" w:after="260" w:line="560" w:lineRule="exact"/>
        <w:ind w:firstLine="0" w:firstLineChars="0"/>
        <w:jc w:val="center"/>
        <w:outlineLvl w:val="1"/>
        <w:rPr>
          <w:rFonts w:ascii="黑体" w:hAnsi="黑体" w:eastAsia="黑体" w:cs="仿宋"/>
          <w:b/>
          <w:bCs/>
          <w:sz w:val="32"/>
          <w:szCs w:val="32"/>
        </w:rPr>
      </w:pPr>
      <w:bookmarkStart w:id="28" w:name="_Toc131005110"/>
      <w:r>
        <w:rPr>
          <w:rFonts w:hint="eastAsia" w:ascii="黑体" w:hAnsi="黑体" w:eastAsia="黑体" w:cs="仿宋"/>
          <w:b/>
          <w:bCs/>
          <w:sz w:val="32"/>
          <w:szCs w:val="32"/>
        </w:rPr>
        <w:t>第二节 存在的主要问题</w:t>
      </w:r>
      <w:bookmarkEnd w:id="28"/>
    </w:p>
    <w:p w14:paraId="06543731">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29" w:name="_Toc88162776"/>
      <w:bookmarkStart w:id="30" w:name="_Toc98172941"/>
      <w:bookmarkStart w:id="31" w:name="_Toc127908941"/>
      <w:bookmarkStart w:id="32" w:name="_Toc121081760"/>
      <w:r>
        <w:rPr>
          <w:rFonts w:hint="eastAsia" w:ascii="黑体" w:hAnsi="黑体" w:eastAsia="黑体" w:cs="黑体"/>
          <w:b w:val="0"/>
          <w:sz w:val="30"/>
          <w:szCs w:val="30"/>
        </w:rPr>
        <w:t>一、生态空间</w:t>
      </w:r>
      <w:bookmarkEnd w:id="29"/>
      <w:bookmarkEnd w:id="30"/>
      <w:r>
        <w:rPr>
          <w:rFonts w:hint="eastAsia" w:ascii="黑体" w:hAnsi="黑体" w:eastAsia="黑体" w:cs="黑体"/>
          <w:b w:val="0"/>
          <w:sz w:val="30"/>
          <w:szCs w:val="30"/>
        </w:rPr>
        <w:t>问题</w:t>
      </w:r>
      <w:bookmarkEnd w:id="31"/>
      <w:bookmarkEnd w:id="32"/>
    </w:p>
    <w:p w14:paraId="7E445EE4">
      <w:pPr>
        <w:ind w:firstLine="560"/>
      </w:pPr>
      <w:r>
        <w:rPr>
          <w:rFonts w:hint="eastAsia"/>
        </w:rPr>
        <w:t>——</w:t>
      </w:r>
      <w:bookmarkStart w:id="33" w:name="_Hlk140586211"/>
      <w:r>
        <w:rPr>
          <w:rFonts w:hint="eastAsia"/>
          <w:b/>
          <w:bCs/>
        </w:rPr>
        <w:t>动植物栖息地受威胁，人鸟争食加剧</w:t>
      </w:r>
      <w:bookmarkEnd w:id="33"/>
      <w:r>
        <w:rPr>
          <w:rFonts w:hint="eastAsia"/>
          <w:b/>
          <w:bCs/>
        </w:rPr>
        <w:t>。</w:t>
      </w:r>
      <w:r>
        <w:rPr>
          <w:rFonts w:hint="eastAsia"/>
        </w:rPr>
        <w:t>近年来，鄱阳湖多次提前进入低枯水期，持续的水位下降导致水禽、鱼类赖以生存的滩涂或索饵场萎缩，依靠滩涂、湿地生活的生物死亡，部分生态链和食物链遭受冲击。鄱阳湖局部生态系统受损，沉水植物数量减少，洲滩植被退化，原有湿生植物群落向偏旱生的群落类型演替，种群结构低龄化、小型化、低质化，</w:t>
      </w:r>
      <w:bookmarkStart w:id="34" w:name="_Hlk140588241"/>
      <w:r>
        <w:rPr>
          <w:rFonts w:hint="eastAsia"/>
        </w:rPr>
        <w:t>天然食物短缺，迫使一些候鸟到农田觅食，引发人鸟冲突</w:t>
      </w:r>
      <w:bookmarkEnd w:id="34"/>
      <w:r>
        <w:rPr>
          <w:rFonts w:hint="eastAsia"/>
        </w:rPr>
        <w:t>。</w:t>
      </w:r>
    </w:p>
    <w:p w14:paraId="742723FC">
      <w:pPr>
        <w:ind w:firstLine="562"/>
      </w:pPr>
      <w:r>
        <w:rPr>
          <w:rFonts w:hint="eastAsia"/>
          <w:b/>
          <w:bCs/>
        </w:rPr>
        <w:t>——湿地生态功能退化，</w:t>
      </w:r>
      <w:bookmarkStart w:id="35" w:name="_Hlk130997257"/>
      <w:r>
        <w:rPr>
          <w:rFonts w:hint="eastAsia"/>
          <w:b/>
          <w:bCs/>
        </w:rPr>
        <w:t>保护压力加大</w:t>
      </w:r>
      <w:bookmarkEnd w:id="35"/>
      <w:r>
        <w:rPr>
          <w:rFonts w:hint="eastAsia"/>
          <w:b/>
          <w:bCs/>
        </w:rPr>
        <w:t>。</w:t>
      </w:r>
      <w:r>
        <w:rPr>
          <w:rFonts w:hint="eastAsia"/>
        </w:rPr>
        <w:t>受沿湖城乡发展、农业开发等影响，湿地空间威胁因素增多，存在被侵占风险，湿地监管难度提升，保护压力加大。此外，由于沿湖农业的集约化经营，造成耕地中化肥、农药的过量使用，流出的有毒物质导致湿地水质恶化，湿地水环境质量不高。其次赣江、抚河等河流沿岸的水土流失造成泥沙入湖淤积，使河床湖底不断抬高，泥沙淤积问题日益严重，湿地水体连通性、自净能力、蓄水调洪、废物净化等功能逐渐弱化，加之天然湿地纳入保护量不足，重要湿地保护区生态功能退化，恢复力下降。</w:t>
      </w:r>
    </w:p>
    <w:p w14:paraId="568310DF">
      <w:pPr>
        <w:ind w:firstLine="562"/>
      </w:pPr>
      <w:bookmarkStart w:id="36" w:name="_Hlk128666653"/>
      <w:r>
        <w:rPr>
          <w:rFonts w:hint="eastAsia"/>
          <w:b/>
          <w:bCs/>
        </w:rPr>
        <w:t>——水系连通性变差，水环境质量降低。</w:t>
      </w:r>
      <w:bookmarkEnd w:id="36"/>
      <w:bookmarkStart w:id="37" w:name="_Hlk127114956"/>
      <w:r>
        <w:rPr>
          <w:rFonts w:hint="eastAsia"/>
        </w:rPr>
        <w:t>2</w:t>
      </w:r>
      <w:r>
        <w:t>016-2020</w:t>
      </w:r>
      <w:r>
        <w:rPr>
          <w:rFonts w:hint="eastAsia"/>
        </w:rPr>
        <w:t>年，南昌县湖泊面积和蓄水容积不断减少，河湖湿地等水系面积减少了</w:t>
      </w:r>
      <w:r>
        <w:t>4343.91公顷，主要分布在富山乡和小蓝经济开发区一带</w:t>
      </w:r>
      <w:r>
        <w:rPr>
          <w:rFonts w:hint="eastAsia"/>
        </w:rPr>
        <w:t>。同时赣江、抚河及其支流水系还存在联系受阻、内湖水体交换变慢、水体交换受到干扰以及水体自净能力减弱等问题</w:t>
      </w:r>
      <w:bookmarkEnd w:id="37"/>
      <w:r>
        <w:rPr>
          <w:rFonts w:hint="eastAsia"/>
        </w:rPr>
        <w:t>，导致水体水质变差。</w:t>
      </w:r>
      <w:bookmarkStart w:id="38" w:name="_Hlk127114965"/>
      <w:r>
        <w:rPr>
          <w:rFonts w:hint="eastAsia"/>
        </w:rPr>
        <w:t>此外，总磷污染内忧外患兼具，雁沙湖、雄溪河、莲塘河等河湖水系总磷超标，农业面源污染和生活污染比较严重，水体富营养化比较普遍，导致生物资源</w:t>
      </w:r>
      <w:bookmarkEnd w:id="38"/>
      <w:r>
        <w:rPr>
          <w:rFonts w:hint="eastAsia"/>
        </w:rPr>
        <w:t>减少。</w:t>
      </w:r>
    </w:p>
    <w:p w14:paraId="40FE2E5D">
      <w:pPr>
        <w:spacing w:before="0" w:after="0"/>
        <w:ind w:firstLine="562"/>
      </w:pPr>
      <w:r>
        <w:rPr>
          <w:rFonts w:hint="eastAsia"/>
          <w:b/>
          <w:bCs/>
        </w:rPr>
        <w:t>——森林质量整体不高，林分结构单一。</w:t>
      </w:r>
      <w:bookmarkStart w:id="39" w:name="_Hlk127114990"/>
      <w:r>
        <w:rPr>
          <w:rFonts w:hint="eastAsia"/>
        </w:rPr>
        <w:t>截止至</w:t>
      </w:r>
      <w:r>
        <w:t>2020</w:t>
      </w:r>
      <w:r>
        <w:rPr>
          <w:rFonts w:hint="eastAsia"/>
        </w:rPr>
        <w:t>年，南昌县森林面积（包括非林业用地森林）为6010.6公顷，林木绿化率10.72%。从占比数据上看，全县幼龄林、中龄林的面积达到了乔木林面积的80.67%，而近熟林、成熟林、过熟林面积仅占19.33%，存在林龄结构不合理，幼龄林、中龄林比例偏大等问题，近熟林、成熟林、过熟林资源很少，可利用资源匮乏。此外，南昌县山体树种以马尾松、湿地松等常绿树种为主，尤其在部分森林公园，湿地公园、旅游区景点、高速铁路、高速公路、国道以及游步道两侧可视范围内，花化、彩化树种比例少，季相特征不明显</w:t>
      </w:r>
      <w:bookmarkEnd w:id="39"/>
      <w:r>
        <w:rPr>
          <w:rFonts w:hint="eastAsia"/>
        </w:rPr>
        <w:t>。</w:t>
      </w:r>
    </w:p>
    <w:p w14:paraId="0AA77EC3">
      <w:pPr>
        <w:ind w:firstLine="562"/>
        <w:rPr>
          <w:rFonts w:hAnsi="宋体"/>
        </w:rPr>
      </w:pPr>
      <w:r>
        <w:rPr>
          <w:rFonts w:hint="eastAsia"/>
          <w:b/>
          <w:bCs/>
        </w:rPr>
        <w:t>——局部水土流失现象依然存在。</w:t>
      </w:r>
      <w:r>
        <w:rPr>
          <w:rFonts w:hint="eastAsia" w:hAnsi="宋体"/>
        </w:rPr>
        <w:t>南昌县水土流失水平总体较低，但仍然存在局部水土流失现象。从水土流失趋势上看，</w:t>
      </w:r>
      <w:r>
        <w:rPr>
          <w:rFonts w:hAnsi="宋体"/>
        </w:rPr>
        <w:t>莲塘镇、小蓝经济开发区增长趋势明显，侵蚀方式皆为水力侵蚀，</w:t>
      </w:r>
      <w:r>
        <w:rPr>
          <w:rFonts w:hint="eastAsia" w:hAnsi="宋体"/>
        </w:rPr>
        <w:t>主要表现为对原地貌、土地和植被的扰动与破坏。同时，部分地区因生产建设项目引起的人为水土流失面积逐年增多，在生产建设过程中产生了大量弃土、弃石，导致人为水土流失加剧</w:t>
      </w:r>
      <w:r>
        <w:rPr>
          <w:rFonts w:hAnsi="宋体"/>
        </w:rPr>
        <w:t>，主要</w:t>
      </w:r>
      <w:r>
        <w:rPr>
          <w:rFonts w:hint="eastAsia" w:hAnsi="宋体"/>
        </w:rPr>
        <w:t>表现</w:t>
      </w:r>
      <w:r>
        <w:rPr>
          <w:rFonts w:hAnsi="宋体"/>
        </w:rPr>
        <w:t>为轻度和中度侵蚀</w:t>
      </w:r>
      <w:r>
        <w:rPr>
          <w:rFonts w:hint="eastAsia" w:hAnsi="宋体"/>
        </w:rPr>
        <w:t>，部分</w:t>
      </w:r>
      <w:r>
        <w:rPr>
          <w:rFonts w:hAnsi="宋体"/>
        </w:rPr>
        <w:t>地区</w:t>
      </w:r>
      <w:r>
        <w:rPr>
          <w:rFonts w:hint="eastAsia" w:hAnsi="宋体"/>
        </w:rPr>
        <w:t>为</w:t>
      </w:r>
      <w:r>
        <w:rPr>
          <w:rFonts w:hAnsi="宋体"/>
        </w:rPr>
        <w:t>剧烈侵蚀</w:t>
      </w:r>
      <w:r>
        <w:rPr>
          <w:rFonts w:hint="eastAsia" w:hAnsi="宋体"/>
        </w:rPr>
        <w:t>，剧烈侵蚀主要分布在</w:t>
      </w:r>
      <w:r>
        <w:rPr>
          <w:rFonts w:hAnsi="宋体"/>
        </w:rPr>
        <w:t>冈上镇</w:t>
      </w:r>
      <w:r>
        <w:rPr>
          <w:rFonts w:hint="eastAsia" w:hAnsi="宋体"/>
        </w:rPr>
        <w:t>、富山乡、东新乡赣江周边区域。</w:t>
      </w:r>
    </w:p>
    <w:p w14:paraId="5CB73D85">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40" w:name="_Toc98172943"/>
      <w:bookmarkStart w:id="41" w:name="_Toc88162778"/>
      <w:bookmarkStart w:id="42" w:name="_Toc121081762"/>
      <w:bookmarkStart w:id="43" w:name="_Toc127908943"/>
      <w:r>
        <w:rPr>
          <w:rFonts w:hint="eastAsia" w:ascii="黑体" w:hAnsi="黑体" w:eastAsia="黑体" w:cs="黑体"/>
          <w:b w:val="0"/>
          <w:sz w:val="30"/>
          <w:szCs w:val="30"/>
        </w:rPr>
        <w:t>二、农业空间</w:t>
      </w:r>
      <w:bookmarkEnd w:id="40"/>
      <w:bookmarkEnd w:id="41"/>
      <w:r>
        <w:rPr>
          <w:rFonts w:hint="eastAsia" w:ascii="黑体" w:hAnsi="黑体" w:eastAsia="黑体" w:cs="黑体"/>
          <w:b w:val="0"/>
          <w:sz w:val="30"/>
          <w:szCs w:val="30"/>
        </w:rPr>
        <w:t>问题</w:t>
      </w:r>
      <w:bookmarkEnd w:id="42"/>
      <w:bookmarkEnd w:id="43"/>
    </w:p>
    <w:p w14:paraId="16DE6F01">
      <w:pPr>
        <w:ind w:firstLine="562"/>
      </w:pPr>
      <w:r>
        <w:rPr>
          <w:rFonts w:hint="eastAsia"/>
          <w:b/>
          <w:bCs/>
        </w:rPr>
        <w:t>——农村生态环境质量不佳，人居环境有待提高。</w:t>
      </w:r>
      <w:r>
        <w:rPr>
          <w:rFonts w:hint="eastAsia"/>
        </w:rPr>
        <w:t>当前南昌县农村生态基础设施相对缺乏，生活垃圾处理及资源化利用能力不足，还存在生活污水未经任何处理直接排至河流的现象，生活污水治理率较低，治理进度不快。全县农村水环境质量整体不高，部分村庄沟渠河道淤塞，氮磷等污染物较多，小河塘富营养化较为突出。同时不科学施用农药化肥、农膜的现象仍大量存在，农业生产所产生的秸秆、禽畜粪便等的不合理处置导致水土污染风险加大，农村的生态环境正在遭受破坏和污染，严重影响农村人居环境，阻碍生态宜居乡村建设。</w:t>
      </w:r>
    </w:p>
    <w:p w14:paraId="1F6EB3B4">
      <w:pPr>
        <w:widowControl/>
        <w:spacing w:before="0" w:after="0" w:line="240" w:lineRule="auto"/>
        <w:ind w:firstLine="560"/>
        <w:jc w:val="left"/>
      </w:pPr>
      <w:r>
        <w:rPr>
          <w:rFonts w:hint="eastAsia"/>
        </w:rPr>
        <w:t>——</w:t>
      </w:r>
      <w:r>
        <w:rPr>
          <w:rFonts w:hint="eastAsia"/>
          <w:b/>
          <w:bCs/>
        </w:rPr>
        <w:t>农田基础设施过度硬化，生态功能降低。</w:t>
      </w:r>
      <w:r>
        <w:rPr>
          <w:rFonts w:hint="eastAsia"/>
        </w:rPr>
        <w:t>南昌县现有的高标准农田建设、土地整治等工程建设过度突出农田灌排系统拦水、蓄水、调水、引水、配水功能和提高水的利用率，过度强调农田基础设施的生产功能，忽视了</w:t>
      </w:r>
      <w:bookmarkStart w:id="44" w:name="_Hlk128729938"/>
      <w:r>
        <w:rPr>
          <w:rFonts w:hint="eastAsia"/>
        </w:rPr>
        <w:t>农田</w:t>
      </w:r>
      <w:bookmarkEnd w:id="44"/>
      <w:r>
        <w:rPr>
          <w:rFonts w:hint="eastAsia"/>
        </w:rPr>
        <w:t>本身的</w:t>
      </w:r>
      <w:bookmarkStart w:id="45" w:name="_Hlk128729947"/>
      <w:r>
        <w:rPr>
          <w:rFonts w:hint="eastAsia"/>
        </w:rPr>
        <w:t>生态功能</w:t>
      </w:r>
      <w:bookmarkEnd w:id="45"/>
      <w:r>
        <w:rPr>
          <w:rFonts w:hint="eastAsia"/>
        </w:rPr>
        <w:t>，各要素之间的联系和有机共生关系遭到破坏。由于农田基础设施过度硬化，缺少生态化设计的工程建设，造成田间生物栖息、繁衍及地下水相通的生态环境发生改变，阻隔田间营养物质自然循环，农田各类动植物的生存环境不能得到有效保障，生物多样性下降，影响农田生态系统的可持续发展。</w:t>
      </w:r>
    </w:p>
    <w:p w14:paraId="73D86D60">
      <w:pPr>
        <w:ind w:firstLine="560"/>
      </w:pPr>
      <w:r>
        <w:rPr>
          <w:rFonts w:hint="eastAsia"/>
        </w:rPr>
        <w:t>——</w:t>
      </w:r>
      <w:r>
        <w:rPr>
          <w:rFonts w:hint="eastAsia"/>
          <w:b/>
          <w:bCs/>
        </w:rPr>
        <w:t>农田生态服务功能不足，景观破碎程度加重。</w:t>
      </w:r>
      <w:r>
        <w:rPr>
          <w:rFonts w:hint="eastAsia"/>
        </w:rPr>
        <w:t>由于土地的过度开发和不合理利用，</w:t>
      </w:r>
      <w:r>
        <w:t>导致</w:t>
      </w:r>
      <w:r>
        <w:rPr>
          <w:rFonts w:hint="eastAsia"/>
        </w:rPr>
        <w:t>大量半自然生境的减少和景观多样性的消失与退化</w:t>
      </w:r>
      <w:r>
        <w:t>，再加上农药化肥大量投入和单一化高产品质种植，</w:t>
      </w:r>
      <w:r>
        <w:rPr>
          <w:rFonts w:hint="eastAsia"/>
        </w:rPr>
        <w:t>降低了</w:t>
      </w:r>
      <w:r>
        <w:t>遗传资源、授粉、天敌和害虫调控、土壤肥力保持、水土涵养、文化和休闲等生态服务功能</w:t>
      </w:r>
      <w:r>
        <w:rPr>
          <w:rFonts w:hint="eastAsia"/>
        </w:rPr>
        <w:t>，</w:t>
      </w:r>
      <w:r>
        <w:t>威胁农业生产稳定性和可持续发展</w:t>
      </w:r>
      <w:r>
        <w:rPr>
          <w:rFonts w:hint="eastAsia"/>
        </w:rPr>
        <w:t>。同时部分地区</w:t>
      </w:r>
      <w:r>
        <w:t>田间道路过度硬化</w:t>
      </w:r>
      <w:r>
        <w:rPr>
          <w:rFonts w:hint="eastAsia"/>
        </w:rPr>
        <w:t>，</w:t>
      </w:r>
      <w:r>
        <w:t>造成景观破碎化</w:t>
      </w:r>
      <w:r>
        <w:rPr>
          <w:rFonts w:hint="eastAsia"/>
        </w:rPr>
        <w:t>和</w:t>
      </w:r>
      <w:r>
        <w:t>生境损失</w:t>
      </w:r>
      <w:r>
        <w:rPr>
          <w:rFonts w:hint="eastAsia"/>
        </w:rPr>
        <w:t>，影响生物多样性迁徙和保护，增加了道路的封闭性</w:t>
      </w:r>
      <w:r>
        <w:t>。</w:t>
      </w:r>
      <w:r>
        <w:rPr>
          <w:rFonts w:hint="eastAsia"/>
        </w:rPr>
        <w:t>此外全县</w:t>
      </w:r>
      <w:r>
        <w:t>还存在农田景观色彩单一、农田观光季节集中、创意产品缺乏等</w:t>
      </w:r>
      <w:r>
        <w:rPr>
          <w:rFonts w:hint="eastAsia"/>
        </w:rPr>
        <w:t>问题</w:t>
      </w:r>
      <w:r>
        <w:t>，大大降低了农田本身的休闲服务功能。</w:t>
      </w:r>
      <w:r>
        <w:rPr>
          <w:rFonts w:hint="eastAsia"/>
        </w:rPr>
        <w:t>加之部分工矿废弃地对农村土地造成损毁，使得土地利用价值下降，耕地质量受损，农村自然风貌破坏，影响居民生活环境和生活质量</w:t>
      </w:r>
      <w:r>
        <w:t>。</w:t>
      </w:r>
    </w:p>
    <w:p w14:paraId="1B65560A">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46" w:name="_Toc88162777"/>
      <w:bookmarkStart w:id="47" w:name="_Toc98172942"/>
      <w:bookmarkStart w:id="48" w:name="_Toc127908942"/>
      <w:bookmarkStart w:id="49" w:name="_Toc121081761"/>
      <w:r>
        <w:rPr>
          <w:rFonts w:hint="eastAsia" w:ascii="黑体" w:hAnsi="黑体" w:eastAsia="黑体" w:cs="黑体"/>
          <w:b w:val="0"/>
          <w:sz w:val="30"/>
          <w:szCs w:val="30"/>
        </w:rPr>
        <w:t>三、城镇空间</w:t>
      </w:r>
      <w:bookmarkEnd w:id="46"/>
      <w:bookmarkEnd w:id="47"/>
      <w:r>
        <w:rPr>
          <w:rFonts w:hint="eastAsia" w:ascii="黑体" w:hAnsi="黑体" w:eastAsia="黑体" w:cs="黑体"/>
          <w:b w:val="0"/>
          <w:sz w:val="30"/>
          <w:szCs w:val="30"/>
        </w:rPr>
        <w:t>问题</w:t>
      </w:r>
      <w:bookmarkEnd w:id="48"/>
      <w:bookmarkEnd w:id="49"/>
    </w:p>
    <w:p w14:paraId="0535A753">
      <w:pPr>
        <w:ind w:firstLine="562"/>
      </w:pPr>
      <w:r>
        <w:rPr>
          <w:rFonts w:hint="eastAsia"/>
          <w:b/>
          <w:bCs/>
        </w:rPr>
        <w:t>——生态系统功能退化，蓝绿网络连通性较差。</w:t>
      </w:r>
      <w:r>
        <w:rPr>
          <w:rFonts w:hint="eastAsia"/>
        </w:rPr>
        <w:t>近些年南昌县的快速发展</w:t>
      </w:r>
      <w:r>
        <w:t>导致</w:t>
      </w:r>
      <w:r>
        <w:rPr>
          <w:rFonts w:hint="eastAsia"/>
        </w:rPr>
        <w:t>城镇生态空间受到不同程度的损害，造成生态空间面积降低、质量下降、功能退化</w:t>
      </w:r>
      <w:r>
        <w:t>，严重影响城市生态环境质量，降低了城市</w:t>
      </w:r>
      <w:r>
        <w:rPr>
          <w:rFonts w:hint="eastAsia"/>
        </w:rPr>
        <w:t>的</w:t>
      </w:r>
      <w:r>
        <w:t>生态承载力和环境容量。</w:t>
      </w:r>
      <w:r>
        <w:rPr>
          <w:rFonts w:hint="eastAsia"/>
        </w:rPr>
        <w:t>同时建筑和道路等基础设施建设将城镇内湖、公园绿地、河流水系、道路绿化等分割，阻碍了城镇绿地系统与河湖湿地内外部之间的物质循环、能量流动和信息传递，造成局部生态系统孤岛化，蓝绿生态网络体系不完善，连通性较差，削弱了小气候调节、水质净化、蓄滞雨水和碳汇等生态服务功能。</w:t>
      </w:r>
    </w:p>
    <w:p w14:paraId="4EF7F56E">
      <w:pPr>
        <w:ind w:firstLine="562"/>
        <w:rPr>
          <w:b/>
          <w:bCs/>
        </w:rPr>
      </w:pPr>
      <w:r>
        <w:rPr>
          <w:rFonts w:hint="eastAsia"/>
          <w:b/>
          <w:bCs/>
        </w:rPr>
        <w:t>——城镇环境质量不佳，生态景观缺失。</w:t>
      </w:r>
      <w:r>
        <w:rPr>
          <w:rFonts w:hint="eastAsia"/>
        </w:rPr>
        <w:t>城镇内部水生态破坏持续存在，水体被污染，河流水量减少，八一乡和银三角部分地区还存在</w:t>
      </w:r>
      <w:r>
        <w:t>土壤环境问题</w:t>
      </w:r>
      <w:r>
        <w:rPr>
          <w:rFonts w:hint="eastAsia"/>
        </w:rPr>
        <w:t>，生态环境质量有待提高。全县污水处理等环境基础设施建设有待加强，尚未建成完善的现代环境治理体系，环境监管能力仍有欠缺，</w:t>
      </w:r>
      <w:r>
        <w:t>不能满足社会经济和城镇化发展需要</w:t>
      </w:r>
      <w:r>
        <w:rPr>
          <w:rFonts w:hint="eastAsia"/>
        </w:rPr>
        <w:t>。</w:t>
      </w:r>
      <w:r>
        <w:t>部分地区城镇内部功能混杂</w:t>
      </w:r>
      <w:r>
        <w:rPr>
          <w:rFonts w:hint="eastAsia"/>
        </w:rPr>
        <w:t>，各类自然生态景观养护力度不大，生境多样性不足，水体污染、植被退化、固体废弃物丢弃等现象普遍存在，损害城镇生态景观。</w:t>
      </w:r>
    </w:p>
    <w:p w14:paraId="310D0D60">
      <w:pPr>
        <w:ind w:firstLine="562"/>
      </w:pPr>
      <w:r>
        <w:rPr>
          <w:rFonts w:hint="eastAsia"/>
          <w:b/>
          <w:bCs/>
        </w:rPr>
        <w:t>——生态系统韧性不足，</w:t>
      </w:r>
      <w:r>
        <w:rPr>
          <w:b/>
          <w:bCs/>
        </w:rPr>
        <w:t>修复难度加大</w:t>
      </w:r>
      <w:r>
        <w:rPr>
          <w:rFonts w:hint="eastAsia"/>
          <w:b/>
          <w:bCs/>
        </w:rPr>
        <w:t>。</w:t>
      </w:r>
      <w:r>
        <w:rPr>
          <w:rFonts w:hint="eastAsia"/>
        </w:rPr>
        <w:t>近些年南昌县的快速发展</w:t>
      </w:r>
      <w:r>
        <w:t>导致大量绿地被破坏</w:t>
      </w:r>
      <w:r>
        <w:rPr>
          <w:rFonts w:hint="eastAsia"/>
        </w:rPr>
        <w:t>，河湖水体被侵占，湖泊面积逐年减少，大大降低了城区蓄滞涝水的能力。同时由于城镇内部湖泊与河流之间缺乏联系贯通，水系连通性较差，在汛期不能充分利用湖库群的调蓄能力，使得城市内涝问题日趋凸显，</w:t>
      </w:r>
      <w:r>
        <w:t>抵御灾害能力和灾后恢复能力较弱</w:t>
      </w:r>
      <w:r>
        <w:rPr>
          <w:rFonts w:hint="eastAsia"/>
        </w:rPr>
        <w:t>，生态系统韧性不足，生态修复难度加大。此外，城镇内部现有的人工岸线多为混凝土或浆砌石等硬质结构，阻断了天然状态下水陆生态系统之间的交流，造成河道湖泊与地下水循环交互能力减弱，滨水植被带和湿地被破坏，河湖水体自净能力不足，进一步降低了城镇生态系统韧性。</w:t>
      </w:r>
    </w:p>
    <w:p w14:paraId="020785EF">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50" w:name="_Toc121081763"/>
      <w:bookmarkStart w:id="51" w:name="_Toc127908944"/>
      <w:r>
        <w:rPr>
          <w:rFonts w:hint="eastAsia" w:ascii="黑体" w:hAnsi="黑体" w:eastAsia="黑体" w:cs="黑体"/>
          <w:b w:val="0"/>
          <w:sz w:val="30"/>
          <w:szCs w:val="30"/>
        </w:rPr>
        <w:t>四、全域系统性问题</w:t>
      </w:r>
      <w:bookmarkEnd w:id="50"/>
      <w:bookmarkEnd w:id="51"/>
    </w:p>
    <w:p w14:paraId="22E4CEE5">
      <w:pPr>
        <w:ind w:firstLine="562"/>
      </w:pPr>
      <w:r>
        <w:rPr>
          <w:rFonts w:hint="eastAsia"/>
          <w:b/>
          <w:bCs/>
        </w:rPr>
        <w:t>——生态廊道破碎，生物多样性受威胁。</w:t>
      </w:r>
      <w:r>
        <w:rPr>
          <w:rFonts w:hint="eastAsia" w:hAnsi="仿宋"/>
        </w:rPr>
        <w:t>近年来南昌县各类公路、铁路等线性工程不断增多，</w:t>
      </w:r>
      <w:r>
        <w:t>密集的交通路网将林地、草地、耕地等切割成多个破碎的生境斑块，</w:t>
      </w:r>
      <w:r>
        <w:rPr>
          <w:rFonts w:hint="eastAsia" w:hAnsi="仿宋"/>
        </w:rPr>
        <w:t>对生态廊道产生明显分割作用，导致生态景观破碎，</w:t>
      </w:r>
      <w:r>
        <w:t>连通性受损，干扰生态系统自然演替和生物迁徙繁殖</w:t>
      </w:r>
      <w:r>
        <w:rPr>
          <w:rFonts w:hint="eastAsia"/>
        </w:rPr>
        <w:t>，动植物</w:t>
      </w:r>
      <w:r>
        <w:t>栖息地质量降低</w:t>
      </w:r>
      <w:r>
        <w:rPr>
          <w:rFonts w:hint="eastAsia"/>
        </w:rPr>
        <w:t>。同时</w:t>
      </w:r>
      <w:r>
        <w:rPr>
          <w:rFonts w:hint="eastAsia" w:hAnsi="仿宋"/>
        </w:rPr>
        <w:t>人类活动不断挤占动植物生存空间，交通沿线与自然生态空间之间缺少隔离缓冲，致使</w:t>
      </w:r>
      <w:r>
        <w:rPr>
          <w:rFonts w:hAnsi="仿宋"/>
        </w:rPr>
        <w:t>局部区域野生动植物生境</w:t>
      </w:r>
      <w:r>
        <w:rPr>
          <w:rFonts w:hint="eastAsia" w:hAnsi="仿宋"/>
        </w:rPr>
        <w:t>被破坏，造成</w:t>
      </w:r>
      <w:r>
        <w:rPr>
          <w:rFonts w:hAnsi="仿宋"/>
        </w:rPr>
        <w:t>种群隔离，</w:t>
      </w:r>
      <w:r>
        <w:rPr>
          <w:rFonts w:hint="eastAsia" w:hAnsi="仿宋"/>
        </w:rPr>
        <w:t>影响物种活动，动植物</w:t>
      </w:r>
      <w:r>
        <w:rPr>
          <w:rFonts w:hAnsi="仿宋"/>
        </w:rPr>
        <w:t>生存受到威胁</w:t>
      </w:r>
      <w:r>
        <w:rPr>
          <w:rFonts w:hint="eastAsia" w:hAnsi="仿宋"/>
        </w:rPr>
        <w:t>。</w:t>
      </w:r>
    </w:p>
    <w:p w14:paraId="3D742D9D">
      <w:pPr>
        <w:ind w:firstLine="562"/>
        <w:rPr>
          <w:rFonts w:hAnsi="仿宋"/>
        </w:rPr>
      </w:pPr>
      <w:r>
        <w:rPr>
          <w:rFonts w:hint="eastAsia"/>
          <w:b/>
          <w:bCs/>
        </w:rPr>
        <w:t>——三类空间互相冲突，缺乏生态缓冲。</w:t>
      </w:r>
      <w:r>
        <w:t>城镇</w:t>
      </w:r>
      <w:r>
        <w:rPr>
          <w:rFonts w:hint="eastAsia"/>
        </w:rPr>
        <w:t>、</w:t>
      </w:r>
      <w:r>
        <w:t>农业</w:t>
      </w:r>
      <w:r>
        <w:rPr>
          <w:rFonts w:hint="eastAsia"/>
        </w:rPr>
        <w:t>、生态三类</w:t>
      </w:r>
      <w:r>
        <w:t>空间</w:t>
      </w:r>
      <w:r>
        <w:rPr>
          <w:rFonts w:hint="eastAsia"/>
        </w:rPr>
        <w:t>相互</w:t>
      </w:r>
      <w:r>
        <w:t>冲突，</w:t>
      </w:r>
      <w:r>
        <w:rPr>
          <w:rFonts w:hint="eastAsia"/>
        </w:rPr>
        <w:t>相邻空间之间缺乏生态缓冲。一是</w:t>
      </w:r>
      <w:r>
        <w:t>城镇空间与生态空间的冲突，城镇建设空间扩张过快，生态空间受到一定挤压，导致生态空间内自然生境受损。</w:t>
      </w:r>
      <w:r>
        <w:rPr>
          <w:rFonts w:hint="eastAsia"/>
        </w:rPr>
        <w:t>二是</w:t>
      </w:r>
      <w:r>
        <w:t>城镇空间与</w:t>
      </w:r>
      <w:r>
        <w:rPr>
          <w:rFonts w:hint="eastAsia"/>
        </w:rPr>
        <w:t>农业</w:t>
      </w:r>
      <w:r>
        <w:t>空间的冲突</w:t>
      </w:r>
      <w:r>
        <w:rPr>
          <w:rFonts w:hint="eastAsia"/>
        </w:rPr>
        <w:t>，</w:t>
      </w:r>
      <w:r>
        <w:rPr>
          <w:rFonts w:hint="eastAsia" w:hAnsi="仿宋"/>
        </w:rPr>
        <w:t>城镇挤占农业空间，导致原有农田</w:t>
      </w:r>
      <w:r>
        <w:t>半自然生境</w:t>
      </w:r>
      <w:r>
        <w:rPr>
          <w:rFonts w:hint="eastAsia" w:hAnsi="仿宋"/>
        </w:rPr>
        <w:t>被破坏，农田景观破碎化加剧，</w:t>
      </w:r>
      <w:r>
        <w:t>粮食安全受到威胁。</w:t>
      </w:r>
      <w:r>
        <w:rPr>
          <w:rFonts w:hint="eastAsia"/>
        </w:rPr>
        <w:t>三是生态</w:t>
      </w:r>
      <w:r>
        <w:t>空间与</w:t>
      </w:r>
      <w:r>
        <w:rPr>
          <w:rFonts w:hint="eastAsia"/>
        </w:rPr>
        <w:t>农业</w:t>
      </w:r>
      <w:r>
        <w:t>空间的冲突</w:t>
      </w:r>
      <w:r>
        <w:rPr>
          <w:rFonts w:hint="eastAsia"/>
        </w:rPr>
        <w:t>，农用地布局不合理，侵占生态空间</w:t>
      </w:r>
      <w:r>
        <w:rPr>
          <w:rFonts w:hint="eastAsia" w:hAnsi="仿宋"/>
        </w:rPr>
        <w:t>，生态保护极重要区外围是生态空间与农业空间冲突的主要区域，保护与开发矛盾突出。</w:t>
      </w:r>
    </w:p>
    <w:p w14:paraId="2D735853">
      <w:pPr>
        <w:ind w:firstLine="562"/>
        <w:rPr>
          <w:rFonts w:hAnsi="仿宋"/>
        </w:rPr>
        <w:sectPr>
          <w:footerReference r:id="rId13" w:type="default"/>
          <w:pgSz w:w="11906" w:h="16838"/>
          <w:pgMar w:top="1440" w:right="1800" w:bottom="1440" w:left="1800" w:header="851" w:footer="992" w:gutter="0"/>
          <w:cols w:space="720" w:num="1"/>
          <w:docGrid w:type="lines" w:linePitch="312" w:charSpace="0"/>
        </w:sectPr>
      </w:pPr>
      <w:r>
        <w:rPr>
          <w:rFonts w:hint="eastAsia"/>
          <w:b/>
          <w:bCs/>
        </w:rPr>
        <w:t>——外来物种防控形势较为严峻。</w:t>
      </w:r>
      <w:r>
        <w:rPr>
          <w:rFonts w:hAnsi="仿宋"/>
        </w:rPr>
        <w:t>近年来</w:t>
      </w:r>
      <w:r>
        <w:rPr>
          <w:rFonts w:hint="eastAsia" w:hAnsi="仿宋"/>
        </w:rPr>
        <w:t>南昌县</w:t>
      </w:r>
      <w:r>
        <w:rPr>
          <w:rFonts w:hAnsi="仿宋"/>
        </w:rPr>
        <w:t>外来入侵生物种数及危害面积的增长趋势不容忽视，</w:t>
      </w:r>
      <w:r>
        <w:rPr>
          <w:rFonts w:hint="eastAsia" w:hAnsi="仿宋"/>
        </w:rPr>
        <w:t>外来入侵物种主要有</w:t>
      </w:r>
      <w:r>
        <w:rPr>
          <w:rFonts w:hAnsi="仿宋"/>
        </w:rPr>
        <w:t>巴西龟、鳄龟、福寿螺、</w:t>
      </w:r>
      <w:r>
        <w:rPr>
          <w:rFonts w:hint="eastAsia" w:hAnsi="仿宋"/>
        </w:rPr>
        <w:t>空心莲子草、加拿大一枝黄花、</w:t>
      </w:r>
      <w:r>
        <w:rPr>
          <w:rFonts w:hAnsi="仿宋"/>
        </w:rPr>
        <w:t>水葫芦</w:t>
      </w:r>
      <w:r>
        <w:rPr>
          <w:rFonts w:hint="eastAsia" w:hAnsi="仿宋"/>
        </w:rPr>
        <w:t>等，对农业和生态保护等有较大影响。其中水花生</w:t>
      </w:r>
      <w:r>
        <w:rPr>
          <w:rFonts w:hAnsi="仿宋"/>
        </w:rPr>
        <w:t>、水葫芦在全</w:t>
      </w:r>
      <w:r>
        <w:rPr>
          <w:rFonts w:hint="eastAsia" w:hAnsi="仿宋"/>
        </w:rPr>
        <w:t>县</w:t>
      </w:r>
      <w:r>
        <w:rPr>
          <w:rFonts w:hAnsi="仿宋"/>
        </w:rPr>
        <w:t>湖泊湿地中均有分布，严重影响本地土著植物生存空间，阻塞河道、水渠</w:t>
      </w:r>
      <w:r>
        <w:rPr>
          <w:rFonts w:hint="eastAsia" w:hAnsi="仿宋"/>
        </w:rPr>
        <w:t>，对鱼类繁殖产生影响</w:t>
      </w:r>
      <w:r>
        <w:rPr>
          <w:rFonts w:hAnsi="仿宋"/>
        </w:rPr>
        <w:t>，威胁珍稀鱼类生物多样性</w:t>
      </w:r>
      <w:r>
        <w:rPr>
          <w:rFonts w:hint="eastAsia" w:hAnsi="仿宋"/>
        </w:rPr>
        <w:t>；外来林业有害生物主要有松材线虫等，防控形势较为严峻。</w:t>
      </w:r>
    </w:p>
    <w:p w14:paraId="1C76CAD3">
      <w:pPr>
        <w:spacing w:before="240" w:after="240" w:line="578" w:lineRule="auto"/>
        <w:ind w:firstLine="0" w:firstLineChars="0"/>
        <w:jc w:val="center"/>
        <w:outlineLvl w:val="0"/>
        <w:rPr>
          <w:rFonts w:ascii="黑体" w:hAnsi="黑体" w:eastAsia="黑体"/>
          <w:b/>
          <w:bCs/>
          <w:kern w:val="44"/>
          <w:sz w:val="36"/>
          <w:szCs w:val="36"/>
        </w:rPr>
      </w:pPr>
      <w:bookmarkStart w:id="52" w:name="_Toc131005111"/>
      <w:r>
        <w:rPr>
          <w:rFonts w:hint="eastAsia" w:ascii="黑体" w:hAnsi="黑体" w:eastAsia="黑体"/>
          <w:b/>
          <w:bCs/>
          <w:kern w:val="44"/>
          <w:sz w:val="36"/>
          <w:szCs w:val="36"/>
        </w:rPr>
        <w:t>第三章</w:t>
      </w:r>
      <w:r>
        <w:rPr>
          <w:rFonts w:ascii="黑体" w:hAnsi="黑体" w:eastAsia="黑体"/>
          <w:b/>
          <w:bCs/>
          <w:kern w:val="44"/>
          <w:sz w:val="36"/>
          <w:szCs w:val="36"/>
        </w:rPr>
        <w:t xml:space="preserve">  </w:t>
      </w:r>
      <w:r>
        <w:rPr>
          <w:rFonts w:hint="eastAsia" w:ascii="黑体" w:hAnsi="黑体" w:eastAsia="黑体"/>
          <w:b/>
          <w:bCs/>
          <w:kern w:val="44"/>
          <w:sz w:val="36"/>
          <w:szCs w:val="36"/>
        </w:rPr>
        <w:t>总体要求</w:t>
      </w:r>
      <w:bookmarkEnd w:id="52"/>
    </w:p>
    <w:p w14:paraId="559974D6">
      <w:pPr>
        <w:spacing w:before="260" w:after="260" w:line="560" w:lineRule="exact"/>
        <w:ind w:firstLine="0" w:firstLineChars="0"/>
        <w:jc w:val="center"/>
        <w:outlineLvl w:val="1"/>
        <w:rPr>
          <w:rFonts w:ascii="黑体" w:hAnsi="黑体" w:eastAsia="黑体" w:cs="仿宋"/>
          <w:b/>
          <w:bCs/>
          <w:sz w:val="32"/>
          <w:szCs w:val="32"/>
        </w:rPr>
      </w:pPr>
      <w:bookmarkStart w:id="53" w:name="_Toc86257406"/>
      <w:bookmarkStart w:id="54" w:name="_Toc131005112"/>
      <w:bookmarkStart w:id="55" w:name="_Toc78481177"/>
      <w:bookmarkStart w:id="56" w:name="_Toc86257425"/>
      <w:r>
        <w:rPr>
          <w:rFonts w:hint="eastAsia" w:ascii="黑体" w:hAnsi="黑体" w:eastAsia="黑体" w:cs="仿宋"/>
          <w:b/>
          <w:bCs/>
          <w:sz w:val="32"/>
          <w:szCs w:val="32"/>
        </w:rPr>
        <w:t>第一节</w:t>
      </w:r>
      <w:r>
        <w:rPr>
          <w:rFonts w:ascii="黑体" w:hAnsi="黑体" w:eastAsia="黑体" w:cs="仿宋"/>
          <w:b/>
          <w:bCs/>
          <w:sz w:val="32"/>
          <w:szCs w:val="32"/>
        </w:rPr>
        <w:t xml:space="preserve"> </w:t>
      </w:r>
      <w:r>
        <w:rPr>
          <w:rFonts w:hint="eastAsia" w:ascii="黑体" w:hAnsi="黑体" w:eastAsia="黑体" w:cs="仿宋"/>
          <w:b/>
          <w:bCs/>
          <w:sz w:val="32"/>
          <w:szCs w:val="32"/>
        </w:rPr>
        <w:t>指导思想</w:t>
      </w:r>
      <w:bookmarkEnd w:id="53"/>
      <w:bookmarkEnd w:id="54"/>
    </w:p>
    <w:p w14:paraId="3F4242B3">
      <w:pPr>
        <w:spacing w:before="0" w:after="0"/>
        <w:ind w:firstLine="560"/>
      </w:pPr>
      <w:r>
        <w:rPr>
          <w:rFonts w:hint="eastAsia"/>
        </w:rPr>
        <w:t>以习近平新时代中国特色社会主义思想和党的二十大精神为指导，全面贯彻落实</w:t>
      </w:r>
      <w:r>
        <w:rPr>
          <w:rFonts w:hint="eastAsia"/>
          <w:lang w:val="en-US" w:eastAsia="zh-CN"/>
        </w:rPr>
        <w:t>习近平</w:t>
      </w:r>
      <w:r>
        <w:rPr>
          <w:rFonts w:hint="eastAsia"/>
        </w:rPr>
        <w:t>生态文明思想和习近平总书记视察江西重要讲话精神。</w:t>
      </w:r>
      <w:r>
        <w:t>坚持人与自然和谐共生，遵循绿色发展理念，以全面提升</w:t>
      </w:r>
      <w:r>
        <w:rPr>
          <w:rFonts w:hint="eastAsia"/>
        </w:rPr>
        <w:t>南昌县</w:t>
      </w:r>
      <w:r>
        <w:t>生态系统质量为目标，以统筹山水林田湖草一体化保护和修复为主线，以系统解决核心生态问题为导向，</w:t>
      </w:r>
      <w:r>
        <w:rPr>
          <w:rFonts w:hint="eastAsia"/>
        </w:rPr>
        <w:t>根据南昌县</w:t>
      </w:r>
      <w:r>
        <w:t>自然地理</w:t>
      </w:r>
      <w:r>
        <w:rPr>
          <w:rFonts w:hint="eastAsia"/>
        </w:rPr>
        <w:t>和生态格局</w:t>
      </w:r>
      <w:r>
        <w:t>，</w:t>
      </w:r>
      <w:r>
        <w:rPr>
          <w:rFonts w:hint="eastAsia"/>
        </w:rPr>
        <w:t>统筹谋划全县</w:t>
      </w:r>
      <w:r>
        <w:t>生态系统保护修复工程，切实增强生态系统稳定性，推进形成生态保护和修复新格局，为维护国家和区域生态安全</w:t>
      </w:r>
      <w:r>
        <w:rPr>
          <w:rFonts w:hint="eastAsia"/>
        </w:rPr>
        <w:t>，构建生态文明领域治理体系和治理能力现代化新格局，</w:t>
      </w:r>
      <w:r>
        <w:t>推</w:t>
      </w:r>
      <w:r>
        <w:rPr>
          <w:rFonts w:hint="eastAsia"/>
        </w:rPr>
        <w:t>动美丽中国南昌样板核心区建设</w:t>
      </w:r>
      <w:r>
        <w:t>奠定坚实生态基础</w:t>
      </w:r>
      <w:r>
        <w:rPr>
          <w:rFonts w:hint="eastAsia"/>
        </w:rPr>
        <w:t>。</w:t>
      </w:r>
    </w:p>
    <w:p w14:paraId="5F9E9883">
      <w:pPr>
        <w:spacing w:before="260" w:after="260" w:line="560" w:lineRule="exact"/>
        <w:ind w:firstLine="0" w:firstLineChars="0"/>
        <w:jc w:val="center"/>
        <w:outlineLvl w:val="1"/>
        <w:rPr>
          <w:rFonts w:ascii="黑体" w:hAnsi="黑体" w:eastAsia="黑体" w:cs="仿宋"/>
          <w:b/>
          <w:bCs/>
          <w:sz w:val="32"/>
          <w:szCs w:val="32"/>
        </w:rPr>
      </w:pPr>
      <w:bookmarkStart w:id="57" w:name="_Toc88162762"/>
      <w:bookmarkStart w:id="58" w:name="_Toc131005113"/>
      <w:bookmarkStart w:id="59" w:name="_Toc86257408"/>
      <w:r>
        <w:rPr>
          <w:rFonts w:hint="eastAsia" w:ascii="黑体" w:hAnsi="黑体" w:eastAsia="黑体" w:cs="仿宋"/>
          <w:b/>
          <w:bCs/>
          <w:sz w:val="32"/>
          <w:szCs w:val="32"/>
        </w:rPr>
        <w:t>第二节 基本原则</w:t>
      </w:r>
      <w:bookmarkEnd w:id="57"/>
      <w:bookmarkEnd w:id="58"/>
      <w:bookmarkEnd w:id="59"/>
    </w:p>
    <w:p w14:paraId="35193A89">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60" w:name="_Toc98172947"/>
      <w:bookmarkStart w:id="61" w:name="_Toc121081767"/>
      <w:bookmarkStart w:id="62" w:name="_Toc127908948"/>
      <w:r>
        <w:rPr>
          <w:rFonts w:hint="eastAsia" w:ascii="黑体" w:hAnsi="黑体" w:eastAsia="黑体" w:cs="黑体"/>
          <w:b w:val="0"/>
          <w:sz w:val="30"/>
          <w:szCs w:val="30"/>
        </w:rPr>
        <w:t>一、</w:t>
      </w:r>
      <w:bookmarkEnd w:id="60"/>
      <w:bookmarkEnd w:id="61"/>
      <w:r>
        <w:rPr>
          <w:rFonts w:hint="eastAsia" w:ascii="黑体" w:hAnsi="黑体" w:eastAsia="黑体" w:cs="黑体"/>
          <w:b w:val="0"/>
          <w:sz w:val="30"/>
          <w:szCs w:val="30"/>
        </w:rPr>
        <w:t>战略引领，科学编制</w:t>
      </w:r>
      <w:bookmarkEnd w:id="62"/>
    </w:p>
    <w:p w14:paraId="1D3E8011">
      <w:pPr>
        <w:spacing w:before="0" w:after="0"/>
        <w:ind w:firstLine="560"/>
      </w:pPr>
      <w:r>
        <w:t>贯彻党中央、国务院决策部署，落实国家、区域和省</w:t>
      </w:r>
      <w:r>
        <w:rPr>
          <w:rFonts w:hint="eastAsia"/>
        </w:rPr>
        <w:t>市</w:t>
      </w:r>
      <w:r>
        <w:t>重大战略</w:t>
      </w:r>
      <w:r>
        <w:rPr>
          <w:rFonts w:hint="eastAsia"/>
        </w:rPr>
        <w:t>，</w:t>
      </w:r>
      <w:r>
        <w:t>按照国家和省相关政策法规、技术规程要求</w:t>
      </w:r>
      <w:r>
        <w:rPr>
          <w:rFonts w:hint="eastAsia"/>
        </w:rPr>
        <w:t>科学</w:t>
      </w:r>
      <w:r>
        <w:t>推进规划编制。</w:t>
      </w:r>
      <w:r>
        <w:rPr>
          <w:rFonts w:ascii="Arial" w:hAnsi="Arial" w:cs="Arial"/>
        </w:rPr>
        <w:t>围绕</w:t>
      </w:r>
      <w:r>
        <w:rPr>
          <w:rFonts w:hint="eastAsia" w:ascii="Arial" w:hAnsi="Arial" w:cs="Arial"/>
        </w:rPr>
        <w:t>建设生态文明和美丽南昌的</w:t>
      </w:r>
      <w:r>
        <w:rPr>
          <w:rFonts w:ascii="Arial" w:hAnsi="Arial" w:cs="Arial"/>
        </w:rPr>
        <w:t>战略</w:t>
      </w:r>
      <w:r>
        <w:rPr>
          <w:rFonts w:hint="eastAsia" w:ascii="Arial" w:hAnsi="Arial" w:cs="Arial"/>
        </w:rPr>
        <w:t>目标</w:t>
      </w:r>
      <w:r>
        <w:rPr>
          <w:rFonts w:ascii="Arial" w:hAnsi="Arial" w:cs="Arial"/>
        </w:rPr>
        <w:t>，</w:t>
      </w:r>
      <w:r>
        <w:rPr>
          <w:rFonts w:hint="eastAsia"/>
        </w:rPr>
        <w:t>坚持以改善南昌县生态环境质量为核心，以解决突出生态环境问题为重点，明确生态保护修复重点任务措施，做到规划目标任务科学合理，切实增强规划的科学性、针对性和有效性</w:t>
      </w:r>
      <w:r>
        <w:t>。</w:t>
      </w:r>
    </w:p>
    <w:p w14:paraId="4CBA4B70">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63" w:name="_Toc121081768"/>
      <w:bookmarkStart w:id="64" w:name="_Toc98172948"/>
      <w:bookmarkStart w:id="65" w:name="_Toc127908949"/>
      <w:r>
        <w:rPr>
          <w:rFonts w:hint="eastAsia" w:ascii="黑体" w:hAnsi="黑体" w:eastAsia="黑体" w:cs="黑体"/>
          <w:b w:val="0"/>
          <w:sz w:val="30"/>
          <w:szCs w:val="30"/>
        </w:rPr>
        <w:t>二、</w:t>
      </w:r>
      <w:bookmarkEnd w:id="63"/>
      <w:bookmarkEnd w:id="64"/>
      <w:r>
        <w:rPr>
          <w:rFonts w:hint="eastAsia" w:ascii="黑体" w:hAnsi="黑体" w:eastAsia="黑体" w:cs="黑体"/>
          <w:b w:val="0"/>
          <w:sz w:val="30"/>
          <w:szCs w:val="30"/>
        </w:rPr>
        <w:t>统筹协调，系统修复</w:t>
      </w:r>
      <w:bookmarkEnd w:id="65"/>
    </w:p>
    <w:p w14:paraId="1ED1D0FF">
      <w:pPr>
        <w:spacing w:before="0" w:after="0"/>
        <w:ind w:firstLine="560"/>
      </w:pPr>
      <w:r>
        <w:rPr>
          <w:rFonts w:hint="eastAsia"/>
        </w:rPr>
        <w:t>坚持全域统筹，</w:t>
      </w:r>
      <w:r>
        <w:t>加强区域协调</w:t>
      </w:r>
      <w:r>
        <w:rPr>
          <w:rFonts w:hint="eastAsia"/>
        </w:rPr>
        <w:t>，</w:t>
      </w:r>
      <w:r>
        <w:t>树立山水林田湖草</w:t>
      </w:r>
      <w:r>
        <w:rPr>
          <w:rFonts w:hint="eastAsia"/>
        </w:rPr>
        <w:t>沙</w:t>
      </w:r>
      <w:r>
        <w:t>生命共同体理念，综合考虑</w:t>
      </w:r>
      <w:r>
        <w:rPr>
          <w:rFonts w:hint="eastAsia"/>
        </w:rPr>
        <w:t>生态系统各要素与环境要素之间的协同性，</w:t>
      </w:r>
      <w:r>
        <w:t>统筹协调自然生态系统</w:t>
      </w:r>
      <w:r>
        <w:rPr>
          <w:rFonts w:hint="eastAsia"/>
        </w:rPr>
        <w:t>和人工生态系统。</w:t>
      </w:r>
      <w:r>
        <w:t>坚持江河湖联动，注重国土空间的整体性</w:t>
      </w:r>
      <w:r>
        <w:rPr>
          <w:rFonts w:hint="eastAsia"/>
        </w:rPr>
        <w:t>，</w:t>
      </w:r>
      <w:r>
        <w:t>注重山上山下、岸上岸下、上游下游的系统性，</w:t>
      </w:r>
      <w:r>
        <w:rPr>
          <w:rFonts w:hint="eastAsia"/>
        </w:rPr>
        <w:t>推进山水林田湖草沙生态系统整体保护、系统修复，体现综合治理，突出整体效益。</w:t>
      </w:r>
      <w:r>
        <w:t>与省</w:t>
      </w:r>
      <w:r>
        <w:rPr>
          <w:rFonts w:hint="eastAsia"/>
        </w:rPr>
        <w:t>市</w:t>
      </w:r>
      <w:r>
        <w:t>级生态修复规划、市</w:t>
      </w:r>
      <w:r>
        <w:rPr>
          <w:rFonts w:hint="eastAsia"/>
        </w:rPr>
        <w:t>县</w:t>
      </w:r>
      <w:r>
        <w:t>国土空间总体规划</w:t>
      </w:r>
      <w:r>
        <w:rPr>
          <w:rFonts w:hint="eastAsia"/>
        </w:rPr>
        <w:t>等</w:t>
      </w:r>
      <w:r>
        <w:t>加强衔接，落实生态修复要求和生态修复重大工程</w:t>
      </w:r>
      <w:r>
        <w:rPr>
          <w:rFonts w:hint="eastAsia"/>
        </w:rPr>
        <w:t>，突出具体化、方案化、项目化</w:t>
      </w:r>
      <w:r>
        <w:t>。</w:t>
      </w:r>
    </w:p>
    <w:p w14:paraId="0BAD9245">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66" w:name="_Toc98172949"/>
      <w:bookmarkStart w:id="67" w:name="_Toc121081769"/>
      <w:bookmarkStart w:id="68" w:name="_Toc127908950"/>
      <w:r>
        <w:rPr>
          <w:rFonts w:hint="eastAsia" w:ascii="黑体" w:hAnsi="黑体" w:eastAsia="黑体" w:cs="黑体"/>
          <w:b w:val="0"/>
          <w:sz w:val="30"/>
          <w:szCs w:val="30"/>
        </w:rPr>
        <w:t>三、</w:t>
      </w:r>
      <w:bookmarkEnd w:id="66"/>
      <w:bookmarkEnd w:id="67"/>
      <w:r>
        <w:rPr>
          <w:rFonts w:hint="eastAsia" w:ascii="黑体" w:hAnsi="黑体" w:eastAsia="黑体" w:cs="黑体"/>
          <w:b w:val="0"/>
          <w:sz w:val="30"/>
          <w:szCs w:val="30"/>
        </w:rPr>
        <w:t>问题导向，因地制宜</w:t>
      </w:r>
      <w:bookmarkEnd w:id="68"/>
    </w:p>
    <w:p w14:paraId="0C46F86B">
      <w:pPr>
        <w:spacing w:before="0" w:after="0"/>
        <w:ind w:firstLine="560"/>
      </w:pPr>
      <w:r>
        <w:t>立足</w:t>
      </w:r>
      <w:r>
        <w:rPr>
          <w:rFonts w:hint="eastAsia"/>
        </w:rPr>
        <w:t>南昌县</w:t>
      </w:r>
      <w:r>
        <w:t>自然地理格局、生态系统状况和主体功能分区，准确识别突出生态问题，科学</w:t>
      </w:r>
      <w:r>
        <w:rPr>
          <w:rFonts w:hint="eastAsia"/>
        </w:rPr>
        <w:t>研判</w:t>
      </w:r>
      <w:r>
        <w:t>主要生态风险，</w:t>
      </w:r>
      <w:r>
        <w:rPr>
          <w:rFonts w:hint="eastAsia"/>
        </w:rPr>
        <w:t>突出问题导向，合理确定规划目标，</w:t>
      </w:r>
      <w:r>
        <w:t>明确生态修复规划需要解决的重大问题和重点任务</w:t>
      </w:r>
      <w:r>
        <w:rPr>
          <w:rFonts w:hint="eastAsia"/>
        </w:rPr>
        <w:t>。</w:t>
      </w:r>
      <w:r>
        <w:t>坚持自然恢复为主</w:t>
      </w:r>
      <w:r>
        <w:rPr>
          <w:rFonts w:hint="eastAsia"/>
        </w:rPr>
        <w:t>，</w:t>
      </w:r>
      <w:r>
        <w:t>避免过度人工干预，实行基于自然的生态修复，聚焦重点流域、重点区域、重点生态功能区，坚持宜林则林、宜田则田、宜水则水、宜草则草的原则，因地制宜开展生态保护修复工作</w:t>
      </w:r>
      <w:r>
        <w:rPr>
          <w:rFonts w:hint="eastAsia"/>
        </w:rPr>
        <w:t>。</w:t>
      </w:r>
    </w:p>
    <w:p w14:paraId="552E9AEA">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69" w:name="_Toc121081770"/>
      <w:bookmarkStart w:id="70" w:name="_Toc98172950"/>
      <w:bookmarkStart w:id="71" w:name="_Toc127908951"/>
      <w:r>
        <w:rPr>
          <w:rFonts w:hint="eastAsia" w:ascii="黑体" w:hAnsi="黑体" w:eastAsia="黑体" w:cs="黑体"/>
          <w:b w:val="0"/>
          <w:sz w:val="30"/>
          <w:szCs w:val="30"/>
        </w:rPr>
        <w:t>四、</w:t>
      </w:r>
      <w:bookmarkEnd w:id="69"/>
      <w:bookmarkEnd w:id="70"/>
      <w:r>
        <w:rPr>
          <w:rFonts w:hint="eastAsia" w:ascii="黑体" w:hAnsi="黑体" w:eastAsia="黑体" w:cs="黑体"/>
          <w:b w:val="0"/>
          <w:sz w:val="30"/>
          <w:szCs w:val="30"/>
        </w:rPr>
        <w:t>充分论证、公众参与</w:t>
      </w:r>
      <w:bookmarkEnd w:id="71"/>
    </w:p>
    <w:p w14:paraId="2CC55DBA">
      <w:pPr>
        <w:spacing w:before="0" w:after="0"/>
        <w:ind w:firstLine="560"/>
      </w:pPr>
      <w:r>
        <w:t>坚持“开门编规划”，建立跨部门、多领域合作</w:t>
      </w:r>
      <w:r>
        <w:rPr>
          <w:rFonts w:hint="eastAsia"/>
        </w:rPr>
        <w:t>的</w:t>
      </w:r>
      <w:r>
        <w:t>工作机制，</w:t>
      </w:r>
      <w:r>
        <w:rPr>
          <w:rFonts w:hint="eastAsia"/>
        </w:rPr>
        <w:t>组建高水平的规划编制团队，</w:t>
      </w:r>
      <w:r>
        <w:t>广泛征求专家学者、</w:t>
      </w:r>
      <w:r>
        <w:rPr>
          <w:rFonts w:hint="eastAsia"/>
        </w:rPr>
        <w:t>相关部门和</w:t>
      </w:r>
      <w:r>
        <w:t>社会公众意见</w:t>
      </w:r>
      <w:r>
        <w:rPr>
          <w:rFonts w:hint="eastAsia"/>
        </w:rPr>
        <w:t>，</w:t>
      </w:r>
      <w:r>
        <w:t>凝聚</w:t>
      </w:r>
      <w:r>
        <w:rPr>
          <w:rFonts w:hint="eastAsia"/>
        </w:rPr>
        <w:t>公众智慧和共识</w:t>
      </w:r>
      <w:r>
        <w:t>，</w:t>
      </w:r>
      <w:bookmarkStart w:id="72" w:name="_Hlk138840388"/>
      <w:r>
        <w:t>回应社会期盼</w:t>
      </w:r>
      <w:bookmarkEnd w:id="72"/>
      <w:r>
        <w:rPr>
          <w:rFonts w:hint="eastAsia"/>
        </w:rPr>
        <w:t>，增强规划的民主性和透明度。进行</w:t>
      </w:r>
      <w:r>
        <w:t>多方论证，按照财力可能、技术可行、工程布局合理的原则安排修复工程项目，避免重复投资和过度投资，实现生态、社会、经济综合效益</w:t>
      </w:r>
      <w:r>
        <w:rPr>
          <w:rFonts w:hint="eastAsia"/>
        </w:rPr>
        <w:t>。</w:t>
      </w:r>
    </w:p>
    <w:p w14:paraId="79518458">
      <w:pPr>
        <w:spacing w:before="260" w:after="260" w:line="560" w:lineRule="exact"/>
        <w:ind w:firstLine="0" w:firstLineChars="0"/>
        <w:jc w:val="center"/>
        <w:outlineLvl w:val="1"/>
        <w:rPr>
          <w:rFonts w:ascii="黑体" w:hAnsi="黑体" w:eastAsia="黑体" w:cs="仿宋"/>
          <w:b/>
          <w:bCs/>
          <w:sz w:val="32"/>
          <w:szCs w:val="32"/>
        </w:rPr>
      </w:pPr>
      <w:bookmarkStart w:id="73" w:name="_Toc131005114"/>
      <w:r>
        <w:rPr>
          <w:rFonts w:hint="eastAsia" w:ascii="黑体" w:hAnsi="黑体" w:eastAsia="黑体" w:cs="仿宋"/>
          <w:b/>
          <w:bCs/>
          <w:sz w:val="32"/>
          <w:szCs w:val="32"/>
        </w:rPr>
        <w:t>第三节</w:t>
      </w:r>
      <w:r>
        <w:rPr>
          <w:rFonts w:ascii="黑体" w:hAnsi="黑体" w:eastAsia="黑体" w:cs="仿宋"/>
          <w:b/>
          <w:bCs/>
          <w:sz w:val="32"/>
          <w:szCs w:val="32"/>
        </w:rPr>
        <w:t xml:space="preserve"> </w:t>
      </w:r>
      <w:r>
        <w:rPr>
          <w:rFonts w:hint="eastAsia" w:ascii="黑体" w:hAnsi="黑体" w:eastAsia="黑体" w:cs="仿宋"/>
          <w:b/>
          <w:bCs/>
          <w:sz w:val="32"/>
          <w:szCs w:val="32"/>
        </w:rPr>
        <w:t>规划目标</w:t>
      </w:r>
      <w:bookmarkEnd w:id="55"/>
      <w:bookmarkEnd w:id="56"/>
      <w:bookmarkEnd w:id="73"/>
    </w:p>
    <w:p w14:paraId="08FC9730">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74" w:name="_Toc127908953"/>
      <w:r>
        <w:rPr>
          <w:rFonts w:hint="eastAsia" w:ascii="黑体" w:hAnsi="黑体" w:eastAsia="黑体" w:cs="黑体"/>
          <w:b w:val="0"/>
          <w:sz w:val="30"/>
          <w:szCs w:val="30"/>
        </w:rPr>
        <w:t>一、总体目标</w:t>
      </w:r>
      <w:bookmarkEnd w:id="74"/>
    </w:p>
    <w:p w14:paraId="18884194">
      <w:pPr>
        <w:spacing w:before="0" w:after="0"/>
        <w:ind w:firstLine="560"/>
      </w:pPr>
      <w:r>
        <w:t>深入贯彻习近平生态文明思想，</w:t>
      </w:r>
      <w:r>
        <w:rPr>
          <w:rFonts w:hint="eastAsia"/>
        </w:rPr>
        <w:t>将山水林田湖草沙命运共同体理念贯穿国土空间生态保护修复全过程。牢固树立尊重自然、顺应自然、保护自然的生态文明理念，坚持“绿水青山就是金山银山”的发展理念，</w:t>
      </w:r>
      <w:r>
        <w:t>以</w:t>
      </w:r>
      <w:bookmarkStart w:id="75" w:name="_Hlk138840327"/>
      <w:r>
        <w:rPr>
          <w:rFonts w:hint="eastAsia"/>
        </w:rPr>
        <w:t>打造“水清岸绿的生态绿城、河湖共济的湿地名城、田城交融的宜居新城”</w:t>
      </w:r>
      <w:bookmarkEnd w:id="75"/>
      <w:r>
        <w:t>为目标</w:t>
      </w:r>
      <w:r>
        <w:rPr>
          <w:rFonts w:hint="eastAsia"/>
        </w:rPr>
        <w:t>，</w:t>
      </w:r>
      <w:r>
        <w:t>全面构建安全、健康、美丽的国土空间格局</w:t>
      </w:r>
      <w:r>
        <w:rPr>
          <w:rFonts w:hint="eastAsia"/>
        </w:rPr>
        <w:t>，促进南昌县现代经济体系与绿色生态环境相互协调，现代城市风貌与秀美自然及美丽田园风光交相辉映，推进人地系统正向演替和人与自然和谐共生。</w:t>
      </w:r>
    </w:p>
    <w:p w14:paraId="2D8E5B14">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76" w:name="_Toc127908954"/>
      <w:r>
        <w:rPr>
          <w:rFonts w:hint="eastAsia" w:ascii="黑体" w:hAnsi="黑体" w:eastAsia="黑体" w:cs="黑体"/>
          <w:b w:val="0"/>
          <w:sz w:val="30"/>
          <w:szCs w:val="30"/>
        </w:rPr>
        <w:t>二、阶段目标</w:t>
      </w:r>
      <w:bookmarkEnd w:id="76"/>
    </w:p>
    <w:p w14:paraId="420A73D2">
      <w:pPr>
        <w:spacing w:before="0" w:after="0"/>
        <w:ind w:firstLine="562"/>
        <w:rPr>
          <w:b/>
          <w:bCs/>
        </w:rPr>
      </w:pPr>
      <w:r>
        <w:rPr>
          <w:rFonts w:hint="eastAsia"/>
          <w:b/>
          <w:bCs/>
        </w:rPr>
        <w:t>到</w:t>
      </w:r>
      <w:r>
        <w:rPr>
          <w:b/>
          <w:bCs/>
        </w:rPr>
        <w:t>2025年，</w:t>
      </w:r>
      <w:r>
        <w:rPr>
          <w:rFonts w:hint="eastAsia"/>
        </w:rPr>
        <w:t>全县</w:t>
      </w:r>
      <w:r>
        <w:rPr>
          <w:rFonts w:hint="eastAsia" w:hAnsi="仿宋"/>
          <w:szCs w:val="28"/>
        </w:rPr>
        <w:t>生态系统质量和稳定性进一步增强，</w:t>
      </w:r>
      <w:r>
        <w:rPr>
          <w:rFonts w:hint="eastAsia"/>
          <w:kern w:val="0"/>
          <w:szCs w:val="32"/>
          <w:lang w:bidi="zh-CN"/>
        </w:rPr>
        <w:t>生物多样性水平有效提升，</w:t>
      </w:r>
      <w:r>
        <w:t>初步建立生态修复实施管理体系</w:t>
      </w:r>
      <w:r>
        <w:rPr>
          <w:rFonts w:hint="eastAsia"/>
        </w:rPr>
        <w:t>。</w:t>
      </w:r>
      <w:r>
        <w:t>重要生态功能区和生态保护红线内自然生境保护修复成效显著，鸟类等珍稀野生动植物及其栖息地</w:t>
      </w:r>
      <w:r>
        <w:rPr>
          <w:rFonts w:hint="eastAsia"/>
        </w:rPr>
        <w:t>得到有效保护，</w:t>
      </w:r>
      <w:r>
        <w:t>森林覆盖率保持基本稳定</w:t>
      </w:r>
      <w:r>
        <w:rPr>
          <w:rFonts w:hint="eastAsia"/>
        </w:rPr>
        <w:t>，</w:t>
      </w:r>
      <w:r>
        <w:t>水生态系统持续好转</w:t>
      </w:r>
      <w:r>
        <w:rPr>
          <w:rFonts w:hint="eastAsia"/>
        </w:rPr>
        <w:t>，农村黑臭水体完全消除，</w:t>
      </w:r>
      <w:r>
        <w:t>生态廊道、关键生态节点修复</w:t>
      </w:r>
      <w:r>
        <w:rPr>
          <w:rFonts w:hint="eastAsia"/>
        </w:rPr>
        <w:t>取得</w:t>
      </w:r>
      <w:r>
        <w:t>突破，生态系统的连通性有效提升</w:t>
      </w:r>
      <w:r>
        <w:rPr>
          <w:rFonts w:hint="eastAsia"/>
        </w:rPr>
        <w:t>，</w:t>
      </w:r>
      <w:r>
        <w:rPr>
          <w:rFonts w:hint="eastAsia"/>
          <w:kern w:val="0"/>
          <w:szCs w:val="32"/>
          <w:lang w:bidi="zh-CN"/>
        </w:rPr>
        <w:t>基本建立</w:t>
      </w:r>
      <w:r>
        <w:rPr>
          <w:rFonts w:hint="eastAsia"/>
        </w:rPr>
        <w:t>以</w:t>
      </w:r>
      <w:r>
        <w:rPr>
          <w:rFonts w:hint="eastAsia"/>
          <w:kern w:val="0"/>
          <w:szCs w:val="32"/>
          <w:lang w:bidi="zh-CN"/>
        </w:rPr>
        <w:t>自然恢复为主、工程修复为辅的山水林田湖草沙系统治理体系</w:t>
      </w:r>
      <w:r>
        <w:t>。</w:t>
      </w:r>
    </w:p>
    <w:p w14:paraId="11FAFB53">
      <w:pPr>
        <w:spacing w:before="0" w:after="0"/>
        <w:ind w:firstLine="562"/>
      </w:pPr>
      <w:r>
        <w:rPr>
          <w:rFonts w:hint="eastAsia"/>
          <w:b/>
          <w:bCs/>
        </w:rPr>
        <w:t>到</w:t>
      </w:r>
      <w:r>
        <w:rPr>
          <w:b/>
          <w:bCs/>
        </w:rPr>
        <w:t>2030年，</w:t>
      </w:r>
      <w:r>
        <w:t>全面巩固提升</w:t>
      </w:r>
      <w:r>
        <w:rPr>
          <w:rFonts w:hint="eastAsia"/>
        </w:rPr>
        <w:t>南昌县</w:t>
      </w:r>
      <w:r>
        <w:t>生态系统质量和稳定性</w:t>
      </w:r>
      <w:r>
        <w:rPr>
          <w:rFonts w:hint="eastAsia"/>
        </w:rPr>
        <w:t>，</w:t>
      </w:r>
      <w:r>
        <w:rPr>
          <w:rFonts w:hint="eastAsia" w:hAnsi="仿宋"/>
          <w:szCs w:val="28"/>
        </w:rPr>
        <w:t>森林、河湖、湿地等自然生态系统状况实现根本好转</w:t>
      </w:r>
      <w:r>
        <w:t>，自然生态系统的质量和稳定性</w:t>
      </w:r>
      <w:r>
        <w:rPr>
          <w:rFonts w:hint="eastAsia"/>
        </w:rPr>
        <w:t>持续</w:t>
      </w:r>
      <w:r>
        <w:t>提升</w:t>
      </w:r>
      <w:r>
        <w:rPr>
          <w:rFonts w:hint="eastAsia"/>
        </w:rPr>
        <w:t>。鄱阳湖、赣江以及抚河等</w:t>
      </w:r>
      <w:r>
        <w:t>重点江河</w:t>
      </w:r>
      <w:r>
        <w:rPr>
          <w:rFonts w:hint="eastAsia"/>
        </w:rPr>
        <w:t>湖</w:t>
      </w:r>
      <w:r>
        <w:t>流域水生生物栖息地健康稳定</w:t>
      </w:r>
      <w:r>
        <w:rPr>
          <w:rFonts w:hint="eastAsia"/>
        </w:rPr>
        <w:t>，</w:t>
      </w:r>
      <w:r>
        <w:t>抵抗自然风险的能力有效提升</w:t>
      </w:r>
      <w:r>
        <w:rPr>
          <w:rFonts w:hint="eastAsia"/>
        </w:rPr>
        <w:t>，</w:t>
      </w:r>
      <w:r>
        <w:t>生物多样性保护网络初步建立</w:t>
      </w:r>
      <w:r>
        <w:rPr>
          <w:rFonts w:hint="eastAsia"/>
        </w:rPr>
        <w:t>，</w:t>
      </w:r>
      <w:r>
        <w:t>生态监测体系进一步加强</w:t>
      </w:r>
      <w:r>
        <w:rPr>
          <w:rFonts w:hint="eastAsia"/>
        </w:rPr>
        <w:t>。</w:t>
      </w:r>
      <w:r>
        <w:rPr>
          <w:rFonts w:hint="eastAsia"/>
          <w:kern w:val="0"/>
          <w:szCs w:val="32"/>
          <w:lang w:bidi="zh-CN"/>
        </w:rPr>
        <w:t>农田生态系统和</w:t>
      </w:r>
      <w:r>
        <w:rPr>
          <w:rFonts w:hAnsi="仿宋"/>
          <w:szCs w:val="28"/>
        </w:rPr>
        <w:t>城乡人居环境持续改善</w:t>
      </w:r>
      <w:r>
        <w:rPr>
          <w:rFonts w:hint="eastAsia"/>
        </w:rPr>
        <w:t>，</w:t>
      </w:r>
      <w:r>
        <w:rPr>
          <w:rFonts w:hAnsi="仿宋"/>
          <w:szCs w:val="28"/>
        </w:rPr>
        <w:t>山水林田湖草沙一体化保护和修复机制更加健全</w:t>
      </w:r>
      <w:r>
        <w:rPr>
          <w:rFonts w:hint="eastAsia" w:hAnsi="仿宋"/>
          <w:szCs w:val="28"/>
        </w:rPr>
        <w:t>，</w:t>
      </w:r>
      <w:r>
        <w:rPr>
          <w:rFonts w:hint="eastAsia"/>
        </w:rPr>
        <w:t>“一心两脉四区多点”的生态修复格局基本形成。</w:t>
      </w:r>
    </w:p>
    <w:p w14:paraId="16395E8F">
      <w:pPr>
        <w:spacing w:before="0" w:after="0"/>
        <w:ind w:firstLine="562"/>
      </w:pPr>
      <w:r>
        <w:rPr>
          <w:rFonts w:hint="eastAsia"/>
          <w:b/>
          <w:bCs/>
        </w:rPr>
        <w:t>到</w:t>
      </w:r>
      <w:r>
        <w:rPr>
          <w:b/>
          <w:bCs/>
        </w:rPr>
        <w:t>2035年，</w:t>
      </w:r>
      <w:r>
        <w:rPr>
          <w:rFonts w:hint="eastAsia"/>
        </w:rPr>
        <w:t>南昌县</w:t>
      </w:r>
      <w:r>
        <w:rPr>
          <w:rFonts w:hAnsi="仿宋"/>
          <w:szCs w:val="28"/>
        </w:rPr>
        <w:t>生态环境根本好转，</w:t>
      </w:r>
      <w:r>
        <w:t>生态产品价值实现机制全面建立，生物多样性保护网络进一步完善</w:t>
      </w:r>
      <w:r>
        <w:rPr>
          <w:rFonts w:hint="eastAsia"/>
        </w:rPr>
        <w:t>，</w:t>
      </w:r>
      <w:r>
        <w:t>生态服务功能显著提高</w:t>
      </w:r>
      <w:r>
        <w:rPr>
          <w:rFonts w:hint="eastAsia"/>
        </w:rPr>
        <w:t>。全县</w:t>
      </w:r>
      <w:r>
        <w:t>人居环境不断优化</w:t>
      </w:r>
      <w:r>
        <w:rPr>
          <w:rFonts w:hint="eastAsia"/>
        </w:rPr>
        <w:t>，生态环境全面改善，生态系统多样性、稳定性、持续性全面提升</w:t>
      </w:r>
      <w:r>
        <w:t>，</w:t>
      </w:r>
      <w:r>
        <w:rPr>
          <w:rFonts w:hint="eastAsia"/>
        </w:rPr>
        <w:t>实现河湖连通互济、水系生态健康的生态新格局，全面建成“一心两脉四区多点”的国土空间生态修复格局，全面</w:t>
      </w:r>
      <w:r>
        <w:t>构建生态、优质、美丽的国土空间格局</w:t>
      </w:r>
      <w:r>
        <w:rPr>
          <w:rFonts w:hint="eastAsia"/>
        </w:rPr>
        <w:t>，</w:t>
      </w:r>
      <w:r>
        <w:t>基本</w:t>
      </w:r>
      <w:r>
        <w:rPr>
          <w:rFonts w:hint="eastAsia"/>
        </w:rPr>
        <w:t>实现</w:t>
      </w:r>
      <w:r>
        <w:t>人与自然和谐共生</w:t>
      </w:r>
      <w:r>
        <w:rPr>
          <w:rFonts w:hint="eastAsia"/>
        </w:rPr>
        <w:t>的新</w:t>
      </w:r>
      <w:r>
        <w:t>局面</w:t>
      </w:r>
      <w:r>
        <w:rPr>
          <w:rFonts w:hint="eastAsia"/>
        </w:rPr>
        <w:t>。</w:t>
      </w:r>
    </w:p>
    <w:p w14:paraId="149F1F89">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77" w:name="_Toc127908955"/>
      <w:r>
        <w:rPr>
          <w:rFonts w:hint="eastAsia" w:ascii="黑体" w:hAnsi="黑体" w:eastAsia="黑体" w:cs="黑体"/>
          <w:b w:val="0"/>
          <w:sz w:val="30"/>
          <w:szCs w:val="30"/>
        </w:rPr>
        <w:t>三、具体指标</w:t>
      </w:r>
      <w:bookmarkEnd w:id="77"/>
    </w:p>
    <w:p w14:paraId="201E98EB">
      <w:pPr>
        <w:spacing w:before="0" w:after="0"/>
        <w:ind w:firstLine="560"/>
        <w:rPr>
          <w:rFonts w:hAnsi="仿宋"/>
          <w:szCs w:val="28"/>
        </w:rPr>
      </w:pPr>
      <w:r>
        <w:rPr>
          <w:rFonts w:hint="eastAsia" w:hAnsi="仿宋"/>
          <w:szCs w:val="28"/>
        </w:rPr>
        <w:t>以山水林田湖草沙一体化保护修复为主线</w:t>
      </w:r>
      <w:r>
        <w:rPr>
          <w:rFonts w:hAnsi="仿宋"/>
          <w:szCs w:val="28"/>
        </w:rPr>
        <w:t>,结合</w:t>
      </w:r>
      <w:r>
        <w:rPr>
          <w:rFonts w:hint="eastAsia" w:hAnsi="仿宋"/>
          <w:szCs w:val="28"/>
        </w:rPr>
        <w:t>南昌县</w:t>
      </w:r>
      <w:r>
        <w:rPr>
          <w:rFonts w:hAnsi="仿宋"/>
          <w:szCs w:val="28"/>
        </w:rPr>
        <w:t>生态资源特征，</w:t>
      </w:r>
      <w:r>
        <w:rPr>
          <w:rFonts w:hint="eastAsia" w:hAnsi="仿宋"/>
          <w:szCs w:val="28"/>
        </w:rPr>
        <w:t>构建自然生态质量、城市环境质量、农村生态质量3种生态质量类型、共</w:t>
      </w:r>
      <w:r>
        <w:rPr>
          <w:rFonts w:hAnsi="仿宋"/>
          <w:szCs w:val="28"/>
        </w:rPr>
        <w:t>15项</w:t>
      </w:r>
      <w:r>
        <w:rPr>
          <w:rFonts w:hint="eastAsia" w:hAnsi="仿宋"/>
          <w:szCs w:val="28"/>
        </w:rPr>
        <w:t>具体指标的生态修复指标体系，包括约束性和预期性两类指标属性，详见表</w:t>
      </w:r>
      <w:r>
        <w:rPr>
          <w:rFonts w:hAnsi="仿宋"/>
          <w:szCs w:val="28"/>
        </w:rPr>
        <w:t>3-1</w:t>
      </w:r>
      <w:r>
        <w:rPr>
          <w:rFonts w:hint="eastAsia" w:hAnsi="仿宋"/>
          <w:szCs w:val="28"/>
        </w:rPr>
        <w:t>。</w:t>
      </w:r>
    </w:p>
    <w:p w14:paraId="6DB73884">
      <w:pPr>
        <w:spacing w:before="0" w:afterLines="50"/>
        <w:ind w:firstLine="0" w:firstLineChars="0"/>
        <w:jc w:val="center"/>
        <w:rPr>
          <w:rFonts w:hAnsi="仿宋"/>
          <w:szCs w:val="28"/>
        </w:rPr>
      </w:pPr>
      <w:r>
        <w:rPr>
          <w:rFonts w:hint="eastAsia"/>
          <w:b/>
          <w:bCs/>
        </w:rPr>
        <w:t>表3</w:t>
      </w:r>
      <w:r>
        <w:rPr>
          <w:b/>
          <w:bCs/>
        </w:rPr>
        <w:t xml:space="preserve">-1  </w:t>
      </w:r>
      <w:r>
        <w:rPr>
          <w:rFonts w:hint="eastAsia"/>
          <w:b/>
          <w:bCs/>
        </w:rPr>
        <w:t>南昌县国土空间</w:t>
      </w:r>
      <w:bookmarkStart w:id="78" w:name="_Hlk128832933"/>
      <w:r>
        <w:rPr>
          <w:rFonts w:hint="eastAsia"/>
          <w:b/>
          <w:bCs/>
        </w:rPr>
        <w:t>生态修复指标体系表</w:t>
      </w:r>
    </w:p>
    <w:bookmarkEnd w:id="78"/>
    <w:tbl>
      <w:tblPr>
        <w:tblStyle w:val="21"/>
        <w:tblW w:w="0" w:type="auto"/>
        <w:jc w:val="center"/>
        <w:tblLayout w:type="fixed"/>
        <w:tblCellMar>
          <w:top w:w="0" w:type="dxa"/>
          <w:left w:w="108" w:type="dxa"/>
          <w:bottom w:w="0" w:type="dxa"/>
          <w:right w:w="108" w:type="dxa"/>
        </w:tblCellMar>
      </w:tblPr>
      <w:tblGrid>
        <w:gridCol w:w="704"/>
        <w:gridCol w:w="2977"/>
        <w:gridCol w:w="992"/>
        <w:gridCol w:w="1276"/>
        <w:gridCol w:w="1276"/>
        <w:gridCol w:w="1071"/>
      </w:tblGrid>
      <w:tr w14:paraId="483AAA4A">
        <w:tblPrEx>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82460C8">
            <w:pPr>
              <w:widowControl/>
              <w:spacing w:before="0" w:after="0" w:line="240" w:lineRule="auto"/>
              <w:ind w:firstLine="0" w:firstLineChars="0"/>
              <w:jc w:val="center"/>
              <w:rPr>
                <w:rFonts w:hAnsi="等线" w:cs="宋体"/>
                <w:b/>
                <w:bCs/>
                <w:kern w:val="0"/>
                <w:sz w:val="24"/>
                <w:szCs w:val="24"/>
              </w:rPr>
            </w:pPr>
            <w:bookmarkStart w:id="79" w:name="_Hlk128832901"/>
            <w:r>
              <w:rPr>
                <w:rFonts w:hint="eastAsia" w:hAnsi="等线" w:cs="宋体"/>
                <w:b/>
                <w:bCs/>
                <w:kern w:val="0"/>
                <w:sz w:val="24"/>
                <w:szCs w:val="24"/>
              </w:rPr>
              <w:t>生态质量类型</w:t>
            </w:r>
            <w:bookmarkEnd w:id="79"/>
          </w:p>
        </w:tc>
        <w:tc>
          <w:tcPr>
            <w:tcW w:w="2977"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3C68D3F">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指标</w:t>
            </w:r>
          </w:p>
        </w:tc>
        <w:tc>
          <w:tcPr>
            <w:tcW w:w="992"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179C5614">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2020年基期值</w:t>
            </w:r>
          </w:p>
        </w:tc>
        <w:tc>
          <w:tcPr>
            <w:tcW w:w="1276"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45F19B79">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2025年目标值</w:t>
            </w:r>
          </w:p>
        </w:tc>
        <w:tc>
          <w:tcPr>
            <w:tcW w:w="1276"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45FA9088">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2035年目标值</w:t>
            </w:r>
          </w:p>
        </w:tc>
        <w:tc>
          <w:tcPr>
            <w:tcW w:w="10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A7D6C79">
            <w:pPr>
              <w:widowControl/>
              <w:spacing w:before="0" w:after="0" w:line="240" w:lineRule="auto"/>
              <w:ind w:firstLine="0" w:firstLineChars="0"/>
              <w:jc w:val="center"/>
              <w:rPr>
                <w:rFonts w:hAnsi="等线" w:cs="宋体"/>
                <w:b/>
                <w:bCs/>
                <w:kern w:val="0"/>
                <w:sz w:val="24"/>
                <w:szCs w:val="24"/>
              </w:rPr>
            </w:pPr>
            <w:bookmarkStart w:id="80" w:name="_Hlk128832970"/>
            <w:r>
              <w:rPr>
                <w:rFonts w:hint="eastAsia" w:hAnsi="等线" w:cs="宋体"/>
                <w:b/>
                <w:bCs/>
                <w:kern w:val="0"/>
                <w:sz w:val="24"/>
                <w:szCs w:val="24"/>
              </w:rPr>
              <w:t>属性</w:t>
            </w:r>
            <w:bookmarkEnd w:id="80"/>
          </w:p>
        </w:tc>
      </w:tr>
      <w:tr w14:paraId="7EC0B4CD">
        <w:tblPrEx>
          <w:tblCellMar>
            <w:top w:w="0" w:type="dxa"/>
            <w:left w:w="108" w:type="dxa"/>
            <w:bottom w:w="0" w:type="dxa"/>
            <w:right w:w="108" w:type="dxa"/>
          </w:tblCellMar>
        </w:tblPrEx>
        <w:trPr>
          <w:trHeight w:val="567" w:hRule="atLeast"/>
          <w:jc w:val="center"/>
        </w:trPr>
        <w:tc>
          <w:tcPr>
            <w:tcW w:w="704" w:type="dxa"/>
            <w:vMerge w:val="restart"/>
            <w:tcBorders>
              <w:top w:val="nil"/>
              <w:left w:val="single" w:color="auto" w:sz="4" w:space="0"/>
              <w:bottom w:val="nil"/>
              <w:right w:val="single" w:color="auto" w:sz="4" w:space="0"/>
            </w:tcBorders>
            <w:shd w:val="clear" w:color="auto" w:fill="auto"/>
            <w:vAlign w:val="center"/>
          </w:tcPr>
          <w:p w14:paraId="16FE0927">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自然生态质量</w:t>
            </w:r>
          </w:p>
        </w:tc>
        <w:tc>
          <w:tcPr>
            <w:tcW w:w="2977" w:type="dxa"/>
            <w:tcBorders>
              <w:top w:val="nil"/>
              <w:left w:val="nil"/>
              <w:bottom w:val="single" w:color="auto" w:sz="4" w:space="0"/>
              <w:right w:val="single" w:color="auto" w:sz="4" w:space="0"/>
            </w:tcBorders>
            <w:shd w:val="clear" w:color="auto" w:fill="auto"/>
            <w:noWrap/>
            <w:vAlign w:val="center"/>
          </w:tcPr>
          <w:p w14:paraId="298465DE">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森林覆盖率（%）</w:t>
            </w:r>
          </w:p>
        </w:tc>
        <w:tc>
          <w:tcPr>
            <w:tcW w:w="992" w:type="dxa"/>
            <w:tcBorders>
              <w:top w:val="nil"/>
              <w:left w:val="nil"/>
              <w:bottom w:val="single" w:color="auto" w:sz="4" w:space="0"/>
              <w:right w:val="single" w:color="auto" w:sz="4" w:space="0"/>
            </w:tcBorders>
            <w:shd w:val="clear" w:color="auto" w:fill="auto"/>
            <w:noWrap/>
            <w:vAlign w:val="center"/>
          </w:tcPr>
          <w:p w14:paraId="6E19CADD">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10.76</w:t>
            </w:r>
          </w:p>
        </w:tc>
        <w:tc>
          <w:tcPr>
            <w:tcW w:w="1276" w:type="dxa"/>
            <w:tcBorders>
              <w:top w:val="nil"/>
              <w:left w:val="nil"/>
              <w:bottom w:val="single" w:color="auto" w:sz="4" w:space="0"/>
              <w:right w:val="single" w:color="auto" w:sz="4" w:space="0"/>
            </w:tcBorders>
            <w:shd w:val="clear" w:color="auto" w:fill="auto"/>
            <w:noWrap/>
            <w:vAlign w:val="center"/>
          </w:tcPr>
          <w:p w14:paraId="7A38B5DA">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276" w:type="dxa"/>
            <w:tcBorders>
              <w:top w:val="nil"/>
              <w:left w:val="nil"/>
              <w:bottom w:val="single" w:color="auto" w:sz="4" w:space="0"/>
              <w:right w:val="single" w:color="auto" w:sz="4" w:space="0"/>
            </w:tcBorders>
            <w:shd w:val="clear" w:color="auto" w:fill="auto"/>
            <w:noWrap/>
            <w:vAlign w:val="center"/>
          </w:tcPr>
          <w:p w14:paraId="4913BB12">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071" w:type="dxa"/>
            <w:tcBorders>
              <w:top w:val="nil"/>
              <w:left w:val="nil"/>
              <w:bottom w:val="single" w:color="auto" w:sz="4" w:space="0"/>
              <w:right w:val="single" w:color="auto" w:sz="4" w:space="0"/>
            </w:tcBorders>
            <w:shd w:val="clear" w:color="auto" w:fill="auto"/>
            <w:noWrap/>
            <w:vAlign w:val="center"/>
          </w:tcPr>
          <w:p w14:paraId="5B2AE71D">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284663C2">
        <w:tblPrEx>
          <w:tblCellMar>
            <w:top w:w="0" w:type="dxa"/>
            <w:left w:w="108" w:type="dxa"/>
            <w:bottom w:w="0" w:type="dxa"/>
            <w:right w:w="108" w:type="dxa"/>
          </w:tblCellMar>
        </w:tblPrEx>
        <w:trPr>
          <w:trHeight w:val="567" w:hRule="atLeast"/>
          <w:jc w:val="center"/>
        </w:trPr>
        <w:tc>
          <w:tcPr>
            <w:tcW w:w="704" w:type="dxa"/>
            <w:vMerge w:val="continue"/>
            <w:tcBorders>
              <w:top w:val="nil"/>
              <w:left w:val="single" w:color="auto" w:sz="4" w:space="0"/>
              <w:bottom w:val="nil"/>
              <w:right w:val="single" w:color="auto" w:sz="4" w:space="0"/>
            </w:tcBorders>
            <w:vAlign w:val="center"/>
          </w:tcPr>
          <w:p w14:paraId="79AFB98A">
            <w:pPr>
              <w:widowControl/>
              <w:spacing w:before="0" w:after="0" w:line="240" w:lineRule="auto"/>
              <w:ind w:firstLine="0" w:firstLineChars="0"/>
              <w:jc w:val="left"/>
              <w:rPr>
                <w:rFonts w:hAnsi="等线" w:cs="宋体"/>
                <w:b/>
                <w:bCs/>
                <w:kern w:val="0"/>
                <w:sz w:val="24"/>
                <w:szCs w:val="24"/>
              </w:rPr>
            </w:pPr>
          </w:p>
        </w:tc>
        <w:tc>
          <w:tcPr>
            <w:tcW w:w="2977" w:type="dxa"/>
            <w:tcBorders>
              <w:top w:val="nil"/>
              <w:left w:val="nil"/>
              <w:bottom w:val="single" w:color="auto" w:sz="4" w:space="0"/>
              <w:right w:val="single" w:color="auto" w:sz="4" w:space="0"/>
            </w:tcBorders>
            <w:shd w:val="clear" w:color="auto" w:fill="auto"/>
            <w:noWrap/>
            <w:vAlign w:val="center"/>
          </w:tcPr>
          <w:p w14:paraId="77FF01FC">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湿地保护率（%）</w:t>
            </w:r>
          </w:p>
        </w:tc>
        <w:tc>
          <w:tcPr>
            <w:tcW w:w="992" w:type="dxa"/>
            <w:tcBorders>
              <w:top w:val="nil"/>
              <w:left w:val="nil"/>
              <w:bottom w:val="single" w:color="auto" w:sz="4" w:space="0"/>
              <w:right w:val="single" w:color="auto" w:sz="4" w:space="0"/>
            </w:tcBorders>
            <w:shd w:val="clear" w:color="auto" w:fill="auto"/>
            <w:noWrap/>
            <w:vAlign w:val="center"/>
          </w:tcPr>
          <w:p w14:paraId="0797B4A1">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20.71</w:t>
            </w:r>
          </w:p>
        </w:tc>
        <w:tc>
          <w:tcPr>
            <w:tcW w:w="1276" w:type="dxa"/>
            <w:tcBorders>
              <w:top w:val="nil"/>
              <w:left w:val="nil"/>
              <w:bottom w:val="single" w:color="auto" w:sz="4" w:space="0"/>
              <w:right w:val="single" w:color="auto" w:sz="4" w:space="0"/>
            </w:tcBorders>
            <w:shd w:val="clear" w:color="auto" w:fill="auto"/>
            <w:noWrap/>
            <w:vAlign w:val="center"/>
          </w:tcPr>
          <w:p w14:paraId="132B6F52">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276" w:type="dxa"/>
            <w:tcBorders>
              <w:top w:val="nil"/>
              <w:left w:val="nil"/>
              <w:bottom w:val="single" w:color="auto" w:sz="4" w:space="0"/>
              <w:right w:val="single" w:color="auto" w:sz="4" w:space="0"/>
            </w:tcBorders>
            <w:shd w:val="clear" w:color="auto" w:fill="auto"/>
            <w:noWrap/>
            <w:vAlign w:val="center"/>
          </w:tcPr>
          <w:p w14:paraId="30BD7136">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071" w:type="dxa"/>
            <w:tcBorders>
              <w:top w:val="nil"/>
              <w:left w:val="nil"/>
              <w:bottom w:val="single" w:color="auto" w:sz="4" w:space="0"/>
              <w:right w:val="single" w:color="auto" w:sz="4" w:space="0"/>
            </w:tcBorders>
            <w:shd w:val="clear" w:color="auto" w:fill="auto"/>
            <w:noWrap/>
            <w:vAlign w:val="center"/>
          </w:tcPr>
          <w:p w14:paraId="3ABA91A3">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791EC0C0">
        <w:tblPrEx>
          <w:tblCellMar>
            <w:top w:w="0" w:type="dxa"/>
            <w:left w:w="108" w:type="dxa"/>
            <w:bottom w:w="0" w:type="dxa"/>
            <w:right w:w="108" w:type="dxa"/>
          </w:tblCellMar>
        </w:tblPrEx>
        <w:trPr>
          <w:trHeight w:val="567" w:hRule="atLeast"/>
          <w:jc w:val="center"/>
        </w:trPr>
        <w:tc>
          <w:tcPr>
            <w:tcW w:w="704" w:type="dxa"/>
            <w:vMerge w:val="continue"/>
            <w:tcBorders>
              <w:top w:val="nil"/>
              <w:left w:val="single" w:color="auto" w:sz="4" w:space="0"/>
              <w:bottom w:val="nil"/>
              <w:right w:val="single" w:color="auto" w:sz="4" w:space="0"/>
            </w:tcBorders>
            <w:vAlign w:val="center"/>
          </w:tcPr>
          <w:p w14:paraId="34687704">
            <w:pPr>
              <w:widowControl/>
              <w:spacing w:before="0" w:after="0" w:line="240" w:lineRule="auto"/>
              <w:ind w:firstLine="0" w:firstLineChars="0"/>
              <w:jc w:val="left"/>
              <w:rPr>
                <w:rFonts w:hAnsi="等线" w:cs="宋体"/>
                <w:b/>
                <w:bCs/>
                <w:kern w:val="0"/>
                <w:sz w:val="24"/>
                <w:szCs w:val="24"/>
              </w:rPr>
            </w:pPr>
          </w:p>
        </w:tc>
        <w:tc>
          <w:tcPr>
            <w:tcW w:w="2977" w:type="dxa"/>
            <w:tcBorders>
              <w:top w:val="nil"/>
              <w:left w:val="nil"/>
              <w:bottom w:val="single" w:color="auto" w:sz="4" w:space="0"/>
              <w:right w:val="single" w:color="auto" w:sz="4" w:space="0"/>
            </w:tcBorders>
            <w:shd w:val="clear" w:color="auto" w:fill="auto"/>
            <w:noWrap/>
            <w:vAlign w:val="center"/>
          </w:tcPr>
          <w:p w14:paraId="4F84FDFB">
            <w:pPr>
              <w:widowControl/>
              <w:spacing w:before="0" w:after="0" w:line="240" w:lineRule="auto"/>
              <w:ind w:firstLine="0" w:firstLineChars="0"/>
              <w:jc w:val="center"/>
              <w:rPr>
                <w:rFonts w:hAnsi="等线" w:cs="宋体"/>
                <w:kern w:val="0"/>
                <w:sz w:val="24"/>
                <w:szCs w:val="24"/>
              </w:rPr>
            </w:pPr>
            <w:bookmarkStart w:id="81" w:name="_Hlk140652727"/>
            <w:r>
              <w:rPr>
                <w:rFonts w:hint="eastAsia" w:hAnsi="等线" w:cs="宋体"/>
                <w:kern w:val="0"/>
                <w:sz w:val="24"/>
                <w:szCs w:val="24"/>
              </w:rPr>
              <w:t>国家、省级重点保护野生动植物物种保护率</w:t>
            </w:r>
            <w:bookmarkEnd w:id="81"/>
            <w:r>
              <w:rPr>
                <w:rFonts w:hint="eastAsia" w:hAnsi="等线" w:cs="宋体"/>
                <w:kern w:val="0"/>
                <w:sz w:val="24"/>
                <w:szCs w:val="24"/>
              </w:rPr>
              <w:t>（%）</w:t>
            </w:r>
          </w:p>
        </w:tc>
        <w:tc>
          <w:tcPr>
            <w:tcW w:w="992" w:type="dxa"/>
            <w:tcBorders>
              <w:top w:val="nil"/>
              <w:left w:val="nil"/>
              <w:bottom w:val="single" w:color="auto" w:sz="4" w:space="0"/>
              <w:right w:val="single" w:color="auto" w:sz="4" w:space="0"/>
            </w:tcBorders>
            <w:shd w:val="clear" w:color="auto" w:fill="auto"/>
            <w:noWrap/>
            <w:vAlign w:val="center"/>
          </w:tcPr>
          <w:p w14:paraId="7EAB7B1C">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w:t>
            </w:r>
          </w:p>
        </w:tc>
        <w:tc>
          <w:tcPr>
            <w:tcW w:w="1276" w:type="dxa"/>
            <w:tcBorders>
              <w:top w:val="nil"/>
              <w:left w:val="nil"/>
              <w:bottom w:val="single" w:color="auto" w:sz="4" w:space="0"/>
              <w:right w:val="single" w:color="auto" w:sz="4" w:space="0"/>
            </w:tcBorders>
            <w:shd w:val="clear" w:color="auto" w:fill="auto"/>
            <w:noWrap/>
            <w:vAlign w:val="center"/>
          </w:tcPr>
          <w:p w14:paraId="43557D5E">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85</w:t>
            </w:r>
          </w:p>
        </w:tc>
        <w:tc>
          <w:tcPr>
            <w:tcW w:w="1276" w:type="dxa"/>
            <w:tcBorders>
              <w:top w:val="nil"/>
              <w:left w:val="nil"/>
              <w:bottom w:val="single" w:color="auto" w:sz="4" w:space="0"/>
              <w:right w:val="single" w:color="auto" w:sz="4" w:space="0"/>
            </w:tcBorders>
            <w:shd w:val="clear" w:color="auto" w:fill="auto"/>
            <w:noWrap/>
            <w:vAlign w:val="center"/>
          </w:tcPr>
          <w:p w14:paraId="62C67D8C">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87</w:t>
            </w:r>
          </w:p>
        </w:tc>
        <w:tc>
          <w:tcPr>
            <w:tcW w:w="1071" w:type="dxa"/>
            <w:tcBorders>
              <w:top w:val="nil"/>
              <w:left w:val="nil"/>
              <w:bottom w:val="single" w:color="auto" w:sz="4" w:space="0"/>
              <w:right w:val="single" w:color="auto" w:sz="4" w:space="0"/>
            </w:tcBorders>
            <w:shd w:val="clear" w:color="auto" w:fill="auto"/>
            <w:noWrap/>
            <w:vAlign w:val="center"/>
          </w:tcPr>
          <w:p w14:paraId="10663962">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416CDD32">
        <w:tblPrEx>
          <w:tblCellMar>
            <w:top w:w="0" w:type="dxa"/>
            <w:left w:w="108" w:type="dxa"/>
            <w:bottom w:w="0" w:type="dxa"/>
            <w:right w:w="108" w:type="dxa"/>
          </w:tblCellMar>
        </w:tblPrEx>
        <w:trPr>
          <w:trHeight w:val="567" w:hRule="atLeast"/>
          <w:jc w:val="center"/>
        </w:trPr>
        <w:tc>
          <w:tcPr>
            <w:tcW w:w="704" w:type="dxa"/>
            <w:vMerge w:val="continue"/>
            <w:tcBorders>
              <w:top w:val="nil"/>
              <w:left w:val="single" w:color="auto" w:sz="4" w:space="0"/>
              <w:bottom w:val="nil"/>
              <w:right w:val="single" w:color="auto" w:sz="4" w:space="0"/>
            </w:tcBorders>
            <w:vAlign w:val="center"/>
          </w:tcPr>
          <w:p w14:paraId="08EF0CDA">
            <w:pPr>
              <w:widowControl/>
              <w:spacing w:before="0" w:after="0" w:line="240" w:lineRule="auto"/>
              <w:ind w:firstLine="0" w:firstLineChars="0"/>
              <w:jc w:val="left"/>
              <w:rPr>
                <w:rFonts w:hAnsi="等线" w:cs="宋体"/>
                <w:b/>
                <w:bCs/>
                <w:kern w:val="0"/>
                <w:sz w:val="24"/>
                <w:szCs w:val="24"/>
              </w:rPr>
            </w:pPr>
          </w:p>
        </w:tc>
        <w:tc>
          <w:tcPr>
            <w:tcW w:w="2977" w:type="dxa"/>
            <w:tcBorders>
              <w:top w:val="nil"/>
              <w:left w:val="nil"/>
              <w:bottom w:val="single" w:color="auto" w:sz="4" w:space="0"/>
              <w:right w:val="single" w:color="auto" w:sz="4" w:space="0"/>
            </w:tcBorders>
            <w:shd w:val="clear" w:color="auto" w:fill="auto"/>
            <w:noWrap/>
            <w:vAlign w:val="center"/>
          </w:tcPr>
          <w:p w14:paraId="20D73B86">
            <w:pPr>
              <w:widowControl/>
              <w:spacing w:before="0" w:after="0" w:line="240" w:lineRule="auto"/>
              <w:ind w:firstLine="0" w:firstLineChars="0"/>
              <w:jc w:val="center"/>
              <w:rPr>
                <w:rFonts w:hAnsi="等线" w:cs="宋体"/>
                <w:kern w:val="0"/>
                <w:sz w:val="24"/>
                <w:szCs w:val="24"/>
              </w:rPr>
            </w:pPr>
            <w:bookmarkStart w:id="82" w:name="_Hlk140652900"/>
            <w:r>
              <w:rPr>
                <w:rFonts w:hint="eastAsia" w:hAnsi="等线" w:cs="宋体"/>
                <w:kern w:val="0"/>
                <w:sz w:val="24"/>
                <w:szCs w:val="24"/>
              </w:rPr>
              <w:t>生态保护红线面积</w:t>
            </w:r>
            <w:bookmarkEnd w:id="82"/>
            <w:r>
              <w:rPr>
                <w:rFonts w:hint="eastAsia" w:hAnsi="等线" w:cs="宋体"/>
                <w:kern w:val="0"/>
                <w:sz w:val="24"/>
                <w:szCs w:val="24"/>
              </w:rPr>
              <w:t>（平方公里）</w:t>
            </w:r>
          </w:p>
        </w:tc>
        <w:tc>
          <w:tcPr>
            <w:tcW w:w="992" w:type="dxa"/>
            <w:tcBorders>
              <w:top w:val="nil"/>
              <w:left w:val="nil"/>
              <w:bottom w:val="single" w:color="auto" w:sz="4" w:space="0"/>
              <w:right w:val="single" w:color="auto" w:sz="4" w:space="0"/>
            </w:tcBorders>
            <w:shd w:val="clear" w:color="auto" w:fill="auto"/>
            <w:noWrap/>
            <w:vAlign w:val="center"/>
          </w:tcPr>
          <w:p w14:paraId="7A443295">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w:t>
            </w:r>
          </w:p>
        </w:tc>
        <w:tc>
          <w:tcPr>
            <w:tcW w:w="1276" w:type="dxa"/>
            <w:tcBorders>
              <w:top w:val="nil"/>
              <w:left w:val="nil"/>
              <w:bottom w:val="single" w:color="auto" w:sz="4" w:space="0"/>
              <w:right w:val="single" w:color="auto" w:sz="4" w:space="0"/>
            </w:tcBorders>
            <w:shd w:val="clear" w:color="auto" w:fill="auto"/>
            <w:noWrap/>
            <w:vAlign w:val="center"/>
          </w:tcPr>
          <w:p w14:paraId="00970B5F">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≥128.60</w:t>
            </w:r>
          </w:p>
        </w:tc>
        <w:tc>
          <w:tcPr>
            <w:tcW w:w="1276" w:type="dxa"/>
            <w:tcBorders>
              <w:top w:val="nil"/>
              <w:left w:val="nil"/>
              <w:bottom w:val="single" w:color="auto" w:sz="4" w:space="0"/>
              <w:right w:val="single" w:color="auto" w:sz="4" w:space="0"/>
            </w:tcBorders>
            <w:shd w:val="clear" w:color="auto" w:fill="auto"/>
            <w:noWrap/>
            <w:vAlign w:val="center"/>
          </w:tcPr>
          <w:p w14:paraId="43AED3CC">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≥128.60</w:t>
            </w:r>
          </w:p>
        </w:tc>
        <w:tc>
          <w:tcPr>
            <w:tcW w:w="1071" w:type="dxa"/>
            <w:tcBorders>
              <w:top w:val="nil"/>
              <w:left w:val="nil"/>
              <w:bottom w:val="single" w:color="auto" w:sz="4" w:space="0"/>
              <w:right w:val="single" w:color="auto" w:sz="4" w:space="0"/>
            </w:tcBorders>
            <w:shd w:val="clear" w:color="auto" w:fill="auto"/>
            <w:noWrap/>
            <w:vAlign w:val="center"/>
          </w:tcPr>
          <w:p w14:paraId="37E83264">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约束性</w:t>
            </w:r>
          </w:p>
        </w:tc>
      </w:tr>
      <w:tr w14:paraId="07C3D6D6">
        <w:tblPrEx>
          <w:tblCellMar>
            <w:top w:w="0" w:type="dxa"/>
            <w:left w:w="108" w:type="dxa"/>
            <w:bottom w:w="0" w:type="dxa"/>
            <w:right w:w="108" w:type="dxa"/>
          </w:tblCellMar>
        </w:tblPrEx>
        <w:trPr>
          <w:trHeight w:val="567" w:hRule="atLeast"/>
          <w:jc w:val="center"/>
        </w:trPr>
        <w:tc>
          <w:tcPr>
            <w:tcW w:w="704" w:type="dxa"/>
            <w:vMerge w:val="continue"/>
            <w:tcBorders>
              <w:top w:val="nil"/>
              <w:left w:val="single" w:color="auto" w:sz="4" w:space="0"/>
              <w:bottom w:val="nil"/>
              <w:right w:val="single" w:color="auto" w:sz="4" w:space="0"/>
            </w:tcBorders>
            <w:vAlign w:val="center"/>
          </w:tcPr>
          <w:p w14:paraId="72DFD829">
            <w:pPr>
              <w:widowControl/>
              <w:spacing w:before="0" w:after="0" w:line="240" w:lineRule="auto"/>
              <w:ind w:firstLine="0" w:firstLineChars="0"/>
              <w:jc w:val="left"/>
              <w:rPr>
                <w:rFonts w:hAnsi="等线" w:cs="宋体"/>
                <w:b/>
                <w:bCs/>
                <w:kern w:val="0"/>
                <w:sz w:val="24"/>
                <w:szCs w:val="24"/>
              </w:rPr>
            </w:pPr>
          </w:p>
        </w:tc>
        <w:tc>
          <w:tcPr>
            <w:tcW w:w="2977" w:type="dxa"/>
            <w:tcBorders>
              <w:top w:val="nil"/>
              <w:left w:val="nil"/>
              <w:bottom w:val="single" w:color="auto" w:sz="4" w:space="0"/>
              <w:right w:val="single" w:color="auto" w:sz="4" w:space="0"/>
            </w:tcBorders>
            <w:shd w:val="clear" w:color="auto" w:fill="auto"/>
            <w:noWrap/>
            <w:vAlign w:val="center"/>
          </w:tcPr>
          <w:p w14:paraId="5F512FAE">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自然保护地陆域面积占陆域国土面积比例（%）</w:t>
            </w:r>
          </w:p>
        </w:tc>
        <w:tc>
          <w:tcPr>
            <w:tcW w:w="992" w:type="dxa"/>
            <w:tcBorders>
              <w:top w:val="nil"/>
              <w:left w:val="nil"/>
              <w:bottom w:val="single" w:color="auto" w:sz="4" w:space="0"/>
              <w:right w:val="single" w:color="auto" w:sz="4" w:space="0"/>
            </w:tcBorders>
            <w:shd w:val="clear" w:color="auto" w:fill="auto"/>
            <w:noWrap/>
            <w:vAlign w:val="center"/>
          </w:tcPr>
          <w:p w14:paraId="56463B2B">
            <w:pPr>
              <w:widowControl/>
              <w:spacing w:before="0" w:after="0" w:line="240" w:lineRule="auto"/>
              <w:ind w:firstLine="0" w:firstLineChars="0"/>
              <w:jc w:val="center"/>
              <w:rPr>
                <w:rFonts w:hAnsi="等线" w:cs="宋体"/>
                <w:kern w:val="0"/>
                <w:sz w:val="24"/>
                <w:szCs w:val="24"/>
              </w:rPr>
            </w:pPr>
            <w:r>
              <w:rPr>
                <w:rFonts w:hAnsi="等线" w:cs="宋体"/>
                <w:kern w:val="0"/>
                <w:sz w:val="24"/>
                <w:szCs w:val="24"/>
              </w:rPr>
              <w:t>6.61</w:t>
            </w:r>
          </w:p>
        </w:tc>
        <w:tc>
          <w:tcPr>
            <w:tcW w:w="1276" w:type="dxa"/>
            <w:tcBorders>
              <w:top w:val="nil"/>
              <w:left w:val="nil"/>
              <w:bottom w:val="single" w:color="auto" w:sz="4" w:space="0"/>
              <w:right w:val="single" w:color="auto" w:sz="4" w:space="0"/>
            </w:tcBorders>
            <w:shd w:val="clear" w:color="auto" w:fill="auto"/>
            <w:noWrap/>
            <w:vAlign w:val="center"/>
          </w:tcPr>
          <w:p w14:paraId="5EFC7977">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276" w:type="dxa"/>
            <w:tcBorders>
              <w:top w:val="nil"/>
              <w:left w:val="nil"/>
              <w:bottom w:val="single" w:color="auto" w:sz="4" w:space="0"/>
              <w:right w:val="single" w:color="auto" w:sz="4" w:space="0"/>
            </w:tcBorders>
            <w:shd w:val="clear" w:color="auto" w:fill="auto"/>
            <w:noWrap/>
            <w:vAlign w:val="center"/>
          </w:tcPr>
          <w:p w14:paraId="33CAE9B5">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071" w:type="dxa"/>
            <w:tcBorders>
              <w:top w:val="nil"/>
              <w:left w:val="nil"/>
              <w:bottom w:val="single" w:color="auto" w:sz="4" w:space="0"/>
              <w:right w:val="single" w:color="auto" w:sz="4" w:space="0"/>
            </w:tcBorders>
            <w:shd w:val="clear" w:color="auto" w:fill="auto"/>
            <w:noWrap/>
            <w:vAlign w:val="center"/>
          </w:tcPr>
          <w:p w14:paraId="50926CC9">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5F598C88">
        <w:tblPrEx>
          <w:tblCellMar>
            <w:top w:w="0" w:type="dxa"/>
            <w:left w:w="108" w:type="dxa"/>
            <w:bottom w:w="0" w:type="dxa"/>
            <w:right w:w="108" w:type="dxa"/>
          </w:tblCellMar>
        </w:tblPrEx>
        <w:trPr>
          <w:trHeight w:val="567" w:hRule="atLeast"/>
          <w:jc w:val="center"/>
        </w:trPr>
        <w:tc>
          <w:tcPr>
            <w:tcW w:w="704" w:type="dxa"/>
            <w:vMerge w:val="continue"/>
            <w:tcBorders>
              <w:top w:val="nil"/>
              <w:left w:val="single" w:color="auto" w:sz="4" w:space="0"/>
              <w:bottom w:val="nil"/>
              <w:right w:val="single" w:color="auto" w:sz="4" w:space="0"/>
            </w:tcBorders>
            <w:vAlign w:val="center"/>
          </w:tcPr>
          <w:p w14:paraId="76BF6BCF">
            <w:pPr>
              <w:widowControl/>
              <w:spacing w:before="0" w:after="0" w:line="240" w:lineRule="auto"/>
              <w:ind w:firstLine="0" w:firstLineChars="0"/>
              <w:jc w:val="left"/>
              <w:rPr>
                <w:rFonts w:hAnsi="等线" w:cs="宋体"/>
                <w:b/>
                <w:bCs/>
                <w:kern w:val="0"/>
                <w:sz w:val="24"/>
                <w:szCs w:val="24"/>
              </w:rPr>
            </w:pPr>
          </w:p>
        </w:tc>
        <w:tc>
          <w:tcPr>
            <w:tcW w:w="2977" w:type="dxa"/>
            <w:tcBorders>
              <w:top w:val="nil"/>
              <w:left w:val="nil"/>
              <w:bottom w:val="single" w:color="auto" w:sz="4" w:space="0"/>
              <w:right w:val="single" w:color="auto" w:sz="4" w:space="0"/>
            </w:tcBorders>
            <w:shd w:val="clear" w:color="auto" w:fill="auto"/>
            <w:noWrap/>
            <w:vAlign w:val="center"/>
          </w:tcPr>
          <w:p w14:paraId="254471CD">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水土保持率（%）</w:t>
            </w:r>
          </w:p>
        </w:tc>
        <w:tc>
          <w:tcPr>
            <w:tcW w:w="992" w:type="dxa"/>
            <w:tcBorders>
              <w:top w:val="nil"/>
              <w:left w:val="nil"/>
              <w:bottom w:val="single" w:color="auto" w:sz="4" w:space="0"/>
              <w:right w:val="single" w:color="auto" w:sz="4" w:space="0"/>
            </w:tcBorders>
            <w:shd w:val="clear" w:color="auto" w:fill="auto"/>
            <w:noWrap/>
            <w:vAlign w:val="center"/>
          </w:tcPr>
          <w:p w14:paraId="4113D591">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85.5</w:t>
            </w:r>
          </w:p>
        </w:tc>
        <w:tc>
          <w:tcPr>
            <w:tcW w:w="1276" w:type="dxa"/>
            <w:tcBorders>
              <w:top w:val="nil"/>
              <w:left w:val="nil"/>
              <w:bottom w:val="single" w:color="auto" w:sz="4" w:space="0"/>
              <w:right w:val="single" w:color="auto" w:sz="4" w:space="0"/>
            </w:tcBorders>
            <w:shd w:val="clear" w:color="auto" w:fill="auto"/>
            <w:noWrap/>
            <w:vAlign w:val="center"/>
          </w:tcPr>
          <w:p w14:paraId="069F3ED7">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≥86.5</w:t>
            </w:r>
          </w:p>
        </w:tc>
        <w:tc>
          <w:tcPr>
            <w:tcW w:w="1276" w:type="dxa"/>
            <w:tcBorders>
              <w:top w:val="nil"/>
              <w:left w:val="nil"/>
              <w:bottom w:val="single" w:color="auto" w:sz="4" w:space="0"/>
              <w:right w:val="single" w:color="auto" w:sz="4" w:space="0"/>
            </w:tcBorders>
            <w:shd w:val="clear" w:color="auto" w:fill="auto"/>
            <w:noWrap/>
            <w:vAlign w:val="center"/>
          </w:tcPr>
          <w:p w14:paraId="0A865C91">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071" w:type="dxa"/>
            <w:tcBorders>
              <w:top w:val="nil"/>
              <w:left w:val="nil"/>
              <w:bottom w:val="single" w:color="auto" w:sz="4" w:space="0"/>
              <w:right w:val="single" w:color="auto" w:sz="4" w:space="0"/>
            </w:tcBorders>
            <w:shd w:val="clear" w:color="auto" w:fill="auto"/>
            <w:noWrap/>
            <w:vAlign w:val="center"/>
          </w:tcPr>
          <w:p w14:paraId="1A2F7F50">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2E7A2CF0">
        <w:tblPrEx>
          <w:tblCellMar>
            <w:top w:w="0" w:type="dxa"/>
            <w:left w:w="108" w:type="dxa"/>
            <w:bottom w:w="0" w:type="dxa"/>
            <w:right w:w="108" w:type="dxa"/>
          </w:tblCellMar>
        </w:tblPrEx>
        <w:trPr>
          <w:trHeight w:val="567" w:hRule="atLeast"/>
          <w:jc w:val="center"/>
        </w:trPr>
        <w:tc>
          <w:tcPr>
            <w:tcW w:w="704" w:type="dxa"/>
            <w:vMerge w:val="continue"/>
            <w:tcBorders>
              <w:top w:val="nil"/>
              <w:left w:val="single" w:color="auto" w:sz="4" w:space="0"/>
              <w:bottom w:val="nil"/>
              <w:right w:val="single" w:color="auto" w:sz="4" w:space="0"/>
            </w:tcBorders>
            <w:vAlign w:val="center"/>
          </w:tcPr>
          <w:p w14:paraId="0E86BF80">
            <w:pPr>
              <w:widowControl/>
              <w:spacing w:before="0" w:after="0" w:line="240" w:lineRule="auto"/>
              <w:ind w:firstLine="0" w:firstLineChars="0"/>
              <w:jc w:val="left"/>
              <w:rPr>
                <w:rFonts w:hAnsi="等线" w:cs="宋体"/>
                <w:b/>
                <w:bCs/>
                <w:kern w:val="0"/>
                <w:sz w:val="24"/>
                <w:szCs w:val="24"/>
              </w:rPr>
            </w:pPr>
          </w:p>
        </w:tc>
        <w:tc>
          <w:tcPr>
            <w:tcW w:w="2977" w:type="dxa"/>
            <w:tcBorders>
              <w:top w:val="nil"/>
              <w:left w:val="nil"/>
              <w:bottom w:val="single" w:color="auto" w:sz="4" w:space="0"/>
              <w:right w:val="single" w:color="auto" w:sz="4" w:space="0"/>
            </w:tcBorders>
            <w:shd w:val="clear" w:color="auto" w:fill="auto"/>
            <w:noWrap/>
            <w:vAlign w:val="center"/>
          </w:tcPr>
          <w:p w14:paraId="3756AEFD">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水域空间保有量（万亩）</w:t>
            </w:r>
          </w:p>
        </w:tc>
        <w:tc>
          <w:tcPr>
            <w:tcW w:w="992" w:type="dxa"/>
            <w:tcBorders>
              <w:top w:val="nil"/>
              <w:left w:val="nil"/>
              <w:bottom w:val="single" w:color="auto" w:sz="4" w:space="0"/>
              <w:right w:val="single" w:color="auto" w:sz="4" w:space="0"/>
            </w:tcBorders>
            <w:shd w:val="clear" w:color="auto" w:fill="auto"/>
            <w:noWrap/>
            <w:vAlign w:val="center"/>
          </w:tcPr>
          <w:p w14:paraId="6DA8AB49">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5</w:t>
            </w:r>
            <w:r>
              <w:rPr>
                <w:rFonts w:hAnsi="等线" w:cs="宋体"/>
                <w:kern w:val="0"/>
                <w:sz w:val="24"/>
                <w:szCs w:val="24"/>
              </w:rPr>
              <w:t>9.09</w:t>
            </w:r>
          </w:p>
        </w:tc>
        <w:tc>
          <w:tcPr>
            <w:tcW w:w="1276" w:type="dxa"/>
            <w:tcBorders>
              <w:top w:val="nil"/>
              <w:left w:val="nil"/>
              <w:bottom w:val="single" w:color="auto" w:sz="4" w:space="0"/>
              <w:right w:val="single" w:color="auto" w:sz="4" w:space="0"/>
            </w:tcBorders>
            <w:shd w:val="clear" w:color="auto" w:fill="auto"/>
            <w:noWrap/>
            <w:vAlign w:val="center"/>
          </w:tcPr>
          <w:p w14:paraId="141D2C99">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276" w:type="dxa"/>
            <w:tcBorders>
              <w:top w:val="nil"/>
              <w:left w:val="nil"/>
              <w:bottom w:val="single" w:color="auto" w:sz="4" w:space="0"/>
              <w:right w:val="single" w:color="auto" w:sz="4" w:space="0"/>
            </w:tcBorders>
            <w:shd w:val="clear" w:color="auto" w:fill="auto"/>
            <w:noWrap/>
            <w:vAlign w:val="center"/>
          </w:tcPr>
          <w:p w14:paraId="4B0C6AF6">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071" w:type="dxa"/>
            <w:tcBorders>
              <w:top w:val="nil"/>
              <w:left w:val="nil"/>
              <w:bottom w:val="single" w:color="auto" w:sz="4" w:space="0"/>
              <w:right w:val="single" w:color="auto" w:sz="4" w:space="0"/>
            </w:tcBorders>
            <w:shd w:val="clear" w:color="auto" w:fill="auto"/>
            <w:noWrap/>
            <w:vAlign w:val="center"/>
          </w:tcPr>
          <w:p w14:paraId="3D938B6F">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4602F675">
        <w:tblPrEx>
          <w:tblCellMar>
            <w:top w:w="0" w:type="dxa"/>
            <w:left w:w="108" w:type="dxa"/>
            <w:bottom w:w="0" w:type="dxa"/>
            <w:right w:w="108" w:type="dxa"/>
          </w:tblCellMar>
        </w:tblPrEx>
        <w:trPr>
          <w:trHeight w:val="567" w:hRule="atLeast"/>
          <w:jc w:val="center"/>
        </w:trPr>
        <w:tc>
          <w:tcPr>
            <w:tcW w:w="704" w:type="dxa"/>
            <w:vMerge w:val="continue"/>
            <w:tcBorders>
              <w:top w:val="nil"/>
              <w:left w:val="single" w:color="auto" w:sz="4" w:space="0"/>
              <w:bottom w:val="nil"/>
              <w:right w:val="single" w:color="auto" w:sz="4" w:space="0"/>
            </w:tcBorders>
            <w:vAlign w:val="center"/>
          </w:tcPr>
          <w:p w14:paraId="5DFAEC99">
            <w:pPr>
              <w:widowControl/>
              <w:spacing w:before="0" w:after="0" w:line="240" w:lineRule="auto"/>
              <w:ind w:firstLine="0" w:firstLineChars="0"/>
              <w:jc w:val="left"/>
              <w:rPr>
                <w:rFonts w:hAnsi="等线" w:cs="宋体"/>
                <w:b/>
                <w:bCs/>
                <w:kern w:val="0"/>
                <w:sz w:val="24"/>
                <w:szCs w:val="24"/>
              </w:rPr>
            </w:pPr>
          </w:p>
        </w:tc>
        <w:tc>
          <w:tcPr>
            <w:tcW w:w="2977" w:type="dxa"/>
            <w:tcBorders>
              <w:top w:val="nil"/>
              <w:left w:val="nil"/>
              <w:bottom w:val="single" w:color="auto" w:sz="4" w:space="0"/>
              <w:right w:val="single" w:color="auto" w:sz="4" w:space="0"/>
            </w:tcBorders>
            <w:shd w:val="clear" w:color="auto" w:fill="auto"/>
            <w:noWrap/>
            <w:vAlign w:val="center"/>
          </w:tcPr>
          <w:p w14:paraId="534EF09F">
            <w:pPr>
              <w:widowControl/>
              <w:spacing w:before="0" w:after="0" w:line="240" w:lineRule="auto"/>
              <w:ind w:firstLine="0" w:firstLineChars="0"/>
              <w:jc w:val="center"/>
              <w:rPr>
                <w:rFonts w:hAnsi="等线" w:cs="宋体"/>
                <w:kern w:val="0"/>
                <w:sz w:val="24"/>
                <w:szCs w:val="24"/>
              </w:rPr>
            </w:pPr>
            <w:bookmarkStart w:id="83" w:name="_Hlk140652910"/>
            <w:r>
              <w:rPr>
                <w:rFonts w:hint="eastAsia" w:hAnsi="等线" w:cs="宋体"/>
                <w:kern w:val="0"/>
                <w:sz w:val="24"/>
                <w:szCs w:val="24"/>
              </w:rPr>
              <w:t>地表水达到或好于III类水体比例</w:t>
            </w:r>
            <w:bookmarkEnd w:id="83"/>
            <w:r>
              <w:rPr>
                <w:rFonts w:hint="eastAsia" w:hAnsi="等线" w:cs="宋体"/>
                <w:kern w:val="0"/>
                <w:sz w:val="24"/>
                <w:szCs w:val="24"/>
              </w:rPr>
              <w:t>（%）</w:t>
            </w:r>
          </w:p>
        </w:tc>
        <w:tc>
          <w:tcPr>
            <w:tcW w:w="992" w:type="dxa"/>
            <w:tcBorders>
              <w:top w:val="nil"/>
              <w:left w:val="nil"/>
              <w:bottom w:val="single" w:color="auto" w:sz="4" w:space="0"/>
              <w:right w:val="single" w:color="auto" w:sz="4" w:space="0"/>
            </w:tcBorders>
            <w:shd w:val="clear" w:color="auto" w:fill="auto"/>
            <w:noWrap/>
            <w:vAlign w:val="center"/>
          </w:tcPr>
          <w:p w14:paraId="68B7FFDF">
            <w:pPr>
              <w:widowControl/>
              <w:spacing w:before="0" w:after="0" w:line="240" w:lineRule="auto"/>
              <w:ind w:firstLine="0" w:firstLineChars="0"/>
              <w:jc w:val="center"/>
              <w:rPr>
                <w:rFonts w:hAnsi="等线" w:cs="宋体"/>
                <w:kern w:val="0"/>
                <w:sz w:val="24"/>
                <w:szCs w:val="24"/>
              </w:rPr>
            </w:pPr>
            <w:r>
              <w:rPr>
                <w:rFonts w:hAnsi="等线" w:cs="宋体"/>
                <w:kern w:val="0"/>
                <w:sz w:val="24"/>
                <w:szCs w:val="24"/>
              </w:rPr>
              <w:t>91.7</w:t>
            </w:r>
          </w:p>
        </w:tc>
        <w:tc>
          <w:tcPr>
            <w:tcW w:w="1276" w:type="dxa"/>
            <w:tcBorders>
              <w:top w:val="nil"/>
              <w:left w:val="nil"/>
              <w:bottom w:val="single" w:color="auto" w:sz="4" w:space="0"/>
              <w:right w:val="single" w:color="auto" w:sz="4" w:space="0"/>
            </w:tcBorders>
            <w:shd w:val="clear" w:color="auto" w:fill="auto"/>
            <w:noWrap/>
            <w:vAlign w:val="center"/>
          </w:tcPr>
          <w:p w14:paraId="6FA16DF7">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276" w:type="dxa"/>
            <w:tcBorders>
              <w:top w:val="nil"/>
              <w:left w:val="nil"/>
              <w:bottom w:val="single" w:color="auto" w:sz="4" w:space="0"/>
              <w:right w:val="single" w:color="auto" w:sz="4" w:space="0"/>
            </w:tcBorders>
            <w:shd w:val="clear" w:color="auto" w:fill="auto"/>
            <w:noWrap/>
            <w:vAlign w:val="center"/>
          </w:tcPr>
          <w:p w14:paraId="2F469370">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071" w:type="dxa"/>
            <w:tcBorders>
              <w:top w:val="nil"/>
              <w:left w:val="nil"/>
              <w:bottom w:val="single" w:color="auto" w:sz="4" w:space="0"/>
              <w:right w:val="single" w:color="auto" w:sz="4" w:space="0"/>
            </w:tcBorders>
            <w:shd w:val="clear" w:color="auto" w:fill="auto"/>
            <w:noWrap/>
            <w:vAlign w:val="center"/>
          </w:tcPr>
          <w:p w14:paraId="492C8F26">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约束性</w:t>
            </w:r>
          </w:p>
        </w:tc>
      </w:tr>
      <w:tr w14:paraId="634F2001">
        <w:tblPrEx>
          <w:tblCellMar>
            <w:top w:w="0" w:type="dxa"/>
            <w:left w:w="108" w:type="dxa"/>
            <w:bottom w:w="0" w:type="dxa"/>
            <w:right w:w="108" w:type="dxa"/>
          </w:tblCellMar>
        </w:tblPrEx>
        <w:trPr>
          <w:trHeight w:val="567" w:hRule="atLeast"/>
          <w:jc w:val="center"/>
        </w:trPr>
        <w:tc>
          <w:tcPr>
            <w:tcW w:w="7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E9EE3D1">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城市环境质量</w:t>
            </w:r>
          </w:p>
        </w:tc>
        <w:tc>
          <w:tcPr>
            <w:tcW w:w="2977" w:type="dxa"/>
            <w:tcBorders>
              <w:top w:val="nil"/>
              <w:left w:val="nil"/>
              <w:bottom w:val="single" w:color="auto" w:sz="4" w:space="0"/>
              <w:right w:val="single" w:color="auto" w:sz="4" w:space="0"/>
            </w:tcBorders>
            <w:shd w:val="clear" w:color="auto" w:fill="auto"/>
            <w:noWrap/>
            <w:vAlign w:val="center"/>
          </w:tcPr>
          <w:p w14:paraId="5409DAC7">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城市内河内湖水质（类）</w:t>
            </w:r>
          </w:p>
        </w:tc>
        <w:tc>
          <w:tcPr>
            <w:tcW w:w="992" w:type="dxa"/>
            <w:tcBorders>
              <w:top w:val="nil"/>
              <w:left w:val="nil"/>
              <w:bottom w:val="single" w:color="auto" w:sz="4" w:space="0"/>
              <w:right w:val="single" w:color="auto" w:sz="4" w:space="0"/>
            </w:tcBorders>
            <w:shd w:val="clear" w:color="auto" w:fill="auto"/>
            <w:noWrap/>
            <w:vAlign w:val="center"/>
          </w:tcPr>
          <w:p w14:paraId="5B46E333">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III</w:t>
            </w:r>
          </w:p>
        </w:tc>
        <w:tc>
          <w:tcPr>
            <w:tcW w:w="1276" w:type="dxa"/>
            <w:tcBorders>
              <w:top w:val="nil"/>
              <w:left w:val="nil"/>
              <w:bottom w:val="single" w:color="auto" w:sz="4" w:space="0"/>
              <w:right w:val="single" w:color="auto" w:sz="4" w:space="0"/>
            </w:tcBorders>
            <w:shd w:val="clear" w:color="auto" w:fill="auto"/>
            <w:noWrap/>
            <w:vAlign w:val="center"/>
          </w:tcPr>
          <w:p w14:paraId="0E403B7E">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III</w:t>
            </w:r>
          </w:p>
        </w:tc>
        <w:tc>
          <w:tcPr>
            <w:tcW w:w="1276" w:type="dxa"/>
            <w:tcBorders>
              <w:top w:val="nil"/>
              <w:left w:val="nil"/>
              <w:bottom w:val="single" w:color="auto" w:sz="4" w:space="0"/>
              <w:right w:val="single" w:color="auto" w:sz="4" w:space="0"/>
            </w:tcBorders>
            <w:shd w:val="clear" w:color="auto" w:fill="auto"/>
            <w:noWrap/>
            <w:vAlign w:val="center"/>
          </w:tcPr>
          <w:p w14:paraId="5C72E565">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III</w:t>
            </w:r>
          </w:p>
        </w:tc>
        <w:tc>
          <w:tcPr>
            <w:tcW w:w="1071" w:type="dxa"/>
            <w:tcBorders>
              <w:top w:val="nil"/>
              <w:left w:val="nil"/>
              <w:bottom w:val="single" w:color="auto" w:sz="4" w:space="0"/>
              <w:right w:val="single" w:color="auto" w:sz="4" w:space="0"/>
            </w:tcBorders>
            <w:shd w:val="clear" w:color="auto" w:fill="auto"/>
            <w:noWrap/>
            <w:vAlign w:val="center"/>
          </w:tcPr>
          <w:p w14:paraId="06C73E58">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12F38BF1">
        <w:tblPrEx>
          <w:tblCellMar>
            <w:top w:w="0" w:type="dxa"/>
            <w:left w:w="108" w:type="dxa"/>
            <w:bottom w:w="0" w:type="dxa"/>
            <w:right w:w="108" w:type="dxa"/>
          </w:tblCellMar>
        </w:tblPrEx>
        <w:trPr>
          <w:trHeight w:val="567" w:hRule="atLeast"/>
          <w:jc w:val="center"/>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4DE020E1">
            <w:pPr>
              <w:widowControl/>
              <w:spacing w:before="0" w:after="0" w:line="240" w:lineRule="auto"/>
              <w:ind w:firstLine="0" w:firstLineChars="0"/>
              <w:jc w:val="left"/>
              <w:rPr>
                <w:rFonts w:hAnsi="等线" w:cs="宋体"/>
                <w:b/>
                <w:bCs/>
                <w:kern w:val="0"/>
                <w:sz w:val="24"/>
                <w:szCs w:val="24"/>
              </w:rPr>
            </w:pPr>
          </w:p>
        </w:tc>
        <w:tc>
          <w:tcPr>
            <w:tcW w:w="2977" w:type="dxa"/>
            <w:tcBorders>
              <w:top w:val="nil"/>
              <w:left w:val="nil"/>
              <w:bottom w:val="single" w:color="auto" w:sz="4" w:space="0"/>
              <w:right w:val="single" w:color="auto" w:sz="4" w:space="0"/>
            </w:tcBorders>
            <w:shd w:val="clear" w:color="auto" w:fill="auto"/>
            <w:noWrap/>
            <w:vAlign w:val="center"/>
          </w:tcPr>
          <w:p w14:paraId="6A2334C4">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中心城区人均公园绿地面积（平方米）</w:t>
            </w:r>
          </w:p>
        </w:tc>
        <w:tc>
          <w:tcPr>
            <w:tcW w:w="992" w:type="dxa"/>
            <w:tcBorders>
              <w:top w:val="nil"/>
              <w:left w:val="nil"/>
              <w:bottom w:val="single" w:color="auto" w:sz="4" w:space="0"/>
              <w:right w:val="single" w:color="auto" w:sz="4" w:space="0"/>
            </w:tcBorders>
            <w:shd w:val="clear" w:color="auto" w:fill="auto"/>
            <w:noWrap/>
            <w:vAlign w:val="center"/>
          </w:tcPr>
          <w:p w14:paraId="5056D60C">
            <w:pPr>
              <w:widowControl/>
              <w:spacing w:before="0" w:after="0" w:line="240" w:lineRule="auto"/>
              <w:ind w:firstLine="0" w:firstLineChars="0"/>
              <w:jc w:val="center"/>
              <w:rPr>
                <w:rFonts w:hAnsi="等线" w:cs="宋体"/>
                <w:kern w:val="0"/>
                <w:sz w:val="24"/>
                <w:szCs w:val="24"/>
              </w:rPr>
            </w:pPr>
            <w:r>
              <w:rPr>
                <w:rFonts w:hint="eastAsia"/>
                <w:sz w:val="24"/>
                <w:szCs w:val="24"/>
              </w:rPr>
              <w:t>7.71</w:t>
            </w:r>
          </w:p>
        </w:tc>
        <w:tc>
          <w:tcPr>
            <w:tcW w:w="1276" w:type="dxa"/>
            <w:tcBorders>
              <w:top w:val="nil"/>
              <w:left w:val="nil"/>
              <w:bottom w:val="single" w:color="auto" w:sz="4" w:space="0"/>
              <w:right w:val="single" w:color="auto" w:sz="4" w:space="0"/>
            </w:tcBorders>
            <w:shd w:val="clear" w:color="auto" w:fill="auto"/>
            <w:noWrap/>
            <w:vAlign w:val="center"/>
          </w:tcPr>
          <w:p w14:paraId="64B3BB16">
            <w:pPr>
              <w:widowControl/>
              <w:spacing w:before="0" w:after="0" w:line="240" w:lineRule="auto"/>
              <w:ind w:firstLine="0" w:firstLineChars="0"/>
              <w:jc w:val="center"/>
              <w:rPr>
                <w:rFonts w:hAnsi="等线" w:cs="宋体"/>
                <w:kern w:val="0"/>
                <w:sz w:val="24"/>
                <w:szCs w:val="24"/>
              </w:rPr>
            </w:pPr>
            <w:r>
              <w:rPr>
                <w:rFonts w:hint="eastAsia"/>
                <w:sz w:val="24"/>
                <w:szCs w:val="24"/>
                <w:lang w:bidi="ar"/>
              </w:rPr>
              <w:t>7.85</w:t>
            </w:r>
          </w:p>
        </w:tc>
        <w:tc>
          <w:tcPr>
            <w:tcW w:w="1276" w:type="dxa"/>
            <w:tcBorders>
              <w:top w:val="nil"/>
              <w:left w:val="nil"/>
              <w:bottom w:val="single" w:color="auto" w:sz="4" w:space="0"/>
              <w:right w:val="single" w:color="auto" w:sz="4" w:space="0"/>
            </w:tcBorders>
            <w:shd w:val="clear" w:color="auto" w:fill="auto"/>
            <w:noWrap/>
            <w:vAlign w:val="center"/>
          </w:tcPr>
          <w:p w14:paraId="1BE406A4">
            <w:pPr>
              <w:widowControl/>
              <w:spacing w:before="0" w:after="0" w:line="240" w:lineRule="auto"/>
              <w:ind w:firstLine="0" w:firstLineChars="0"/>
              <w:jc w:val="center"/>
              <w:rPr>
                <w:rFonts w:hAnsi="等线" w:cs="宋体"/>
                <w:kern w:val="0"/>
                <w:sz w:val="24"/>
                <w:szCs w:val="24"/>
              </w:rPr>
            </w:pPr>
            <w:r>
              <w:rPr>
                <w:rFonts w:hint="eastAsia"/>
                <w:sz w:val="24"/>
                <w:szCs w:val="24"/>
              </w:rPr>
              <w:t>8</w:t>
            </w:r>
          </w:p>
        </w:tc>
        <w:tc>
          <w:tcPr>
            <w:tcW w:w="1071" w:type="dxa"/>
            <w:tcBorders>
              <w:top w:val="nil"/>
              <w:left w:val="nil"/>
              <w:bottom w:val="single" w:color="auto" w:sz="4" w:space="0"/>
              <w:right w:val="single" w:color="auto" w:sz="4" w:space="0"/>
            </w:tcBorders>
            <w:shd w:val="clear" w:color="auto" w:fill="auto"/>
            <w:noWrap/>
            <w:vAlign w:val="center"/>
          </w:tcPr>
          <w:p w14:paraId="08565FF6">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337E6D2C">
        <w:tblPrEx>
          <w:tblCellMar>
            <w:top w:w="0" w:type="dxa"/>
            <w:left w:w="108" w:type="dxa"/>
            <w:bottom w:w="0" w:type="dxa"/>
            <w:right w:w="108" w:type="dxa"/>
          </w:tblCellMar>
        </w:tblPrEx>
        <w:trPr>
          <w:trHeight w:val="567" w:hRule="atLeast"/>
          <w:jc w:val="center"/>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3D566602">
            <w:pPr>
              <w:widowControl/>
              <w:spacing w:before="0" w:after="0" w:line="240" w:lineRule="auto"/>
              <w:ind w:firstLine="0" w:firstLineChars="0"/>
              <w:jc w:val="left"/>
              <w:rPr>
                <w:rFonts w:hAnsi="等线" w:cs="宋体"/>
                <w:b/>
                <w:bCs/>
                <w:kern w:val="0"/>
                <w:sz w:val="24"/>
                <w:szCs w:val="24"/>
              </w:rPr>
            </w:pPr>
          </w:p>
        </w:tc>
        <w:tc>
          <w:tcPr>
            <w:tcW w:w="2977" w:type="dxa"/>
            <w:tcBorders>
              <w:top w:val="nil"/>
              <w:left w:val="nil"/>
              <w:bottom w:val="single" w:color="auto" w:sz="4" w:space="0"/>
              <w:right w:val="single" w:color="auto" w:sz="4" w:space="0"/>
            </w:tcBorders>
            <w:shd w:val="clear" w:color="auto" w:fill="auto"/>
            <w:noWrap/>
            <w:vAlign w:val="center"/>
          </w:tcPr>
          <w:p w14:paraId="6405160B">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中心城区公园绿地和开敞空间5分钟覆盖率（%）</w:t>
            </w:r>
          </w:p>
        </w:tc>
        <w:tc>
          <w:tcPr>
            <w:tcW w:w="992" w:type="dxa"/>
            <w:tcBorders>
              <w:top w:val="nil"/>
              <w:left w:val="nil"/>
              <w:bottom w:val="single" w:color="auto" w:sz="4" w:space="0"/>
              <w:right w:val="single" w:color="auto" w:sz="4" w:space="0"/>
            </w:tcBorders>
            <w:shd w:val="clear" w:color="auto" w:fill="auto"/>
            <w:noWrap/>
            <w:vAlign w:val="center"/>
          </w:tcPr>
          <w:p w14:paraId="0E28BFA8">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21.26</w:t>
            </w:r>
          </w:p>
        </w:tc>
        <w:tc>
          <w:tcPr>
            <w:tcW w:w="1276" w:type="dxa"/>
            <w:tcBorders>
              <w:top w:val="nil"/>
              <w:left w:val="nil"/>
              <w:bottom w:val="single" w:color="auto" w:sz="4" w:space="0"/>
              <w:right w:val="single" w:color="auto" w:sz="4" w:space="0"/>
            </w:tcBorders>
            <w:shd w:val="clear" w:color="auto" w:fill="auto"/>
            <w:noWrap/>
            <w:vAlign w:val="center"/>
          </w:tcPr>
          <w:p w14:paraId="0503C5C4">
            <w:pPr>
              <w:widowControl/>
              <w:spacing w:before="0" w:after="0" w:line="240" w:lineRule="auto"/>
              <w:ind w:firstLine="0" w:firstLineChars="0"/>
              <w:jc w:val="center"/>
              <w:rPr>
                <w:rFonts w:hAnsi="等线" w:cs="宋体"/>
                <w:kern w:val="0"/>
                <w:sz w:val="24"/>
                <w:szCs w:val="24"/>
              </w:rPr>
            </w:pPr>
            <w:r>
              <w:rPr>
                <w:rFonts w:hint="eastAsia"/>
                <w:sz w:val="24"/>
                <w:szCs w:val="24"/>
              </w:rPr>
              <w:t>40</w:t>
            </w:r>
          </w:p>
        </w:tc>
        <w:tc>
          <w:tcPr>
            <w:tcW w:w="1276" w:type="dxa"/>
            <w:tcBorders>
              <w:top w:val="nil"/>
              <w:left w:val="nil"/>
              <w:bottom w:val="single" w:color="auto" w:sz="4" w:space="0"/>
              <w:right w:val="single" w:color="auto" w:sz="4" w:space="0"/>
            </w:tcBorders>
            <w:shd w:val="clear" w:color="auto" w:fill="auto"/>
            <w:noWrap/>
            <w:vAlign w:val="center"/>
          </w:tcPr>
          <w:p w14:paraId="3F82C74B">
            <w:pPr>
              <w:widowControl/>
              <w:spacing w:before="0" w:after="0" w:line="240" w:lineRule="auto"/>
              <w:ind w:firstLine="0" w:firstLineChars="0"/>
              <w:jc w:val="center"/>
              <w:rPr>
                <w:rFonts w:hAnsi="等线" w:cs="宋体"/>
                <w:kern w:val="0"/>
                <w:sz w:val="24"/>
                <w:szCs w:val="24"/>
              </w:rPr>
            </w:pPr>
            <w:r>
              <w:rPr>
                <w:rFonts w:hAnsi="等线" w:cs="宋体"/>
                <w:kern w:val="0"/>
                <w:sz w:val="24"/>
                <w:szCs w:val="24"/>
              </w:rPr>
              <w:t>60</w:t>
            </w:r>
          </w:p>
        </w:tc>
        <w:tc>
          <w:tcPr>
            <w:tcW w:w="1071" w:type="dxa"/>
            <w:tcBorders>
              <w:top w:val="nil"/>
              <w:left w:val="nil"/>
              <w:bottom w:val="single" w:color="auto" w:sz="4" w:space="0"/>
              <w:right w:val="single" w:color="auto" w:sz="4" w:space="0"/>
            </w:tcBorders>
            <w:shd w:val="clear" w:color="auto" w:fill="auto"/>
            <w:noWrap/>
            <w:vAlign w:val="center"/>
          </w:tcPr>
          <w:p w14:paraId="4C2FBA69">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39E20966">
        <w:tblPrEx>
          <w:tblCellMar>
            <w:top w:w="0" w:type="dxa"/>
            <w:left w:w="108" w:type="dxa"/>
            <w:bottom w:w="0" w:type="dxa"/>
            <w:right w:w="108" w:type="dxa"/>
          </w:tblCellMar>
        </w:tblPrEx>
        <w:trPr>
          <w:trHeight w:val="567" w:hRule="atLeast"/>
          <w:jc w:val="center"/>
        </w:trPr>
        <w:tc>
          <w:tcPr>
            <w:tcW w:w="704" w:type="dxa"/>
            <w:vMerge w:val="restart"/>
            <w:tcBorders>
              <w:top w:val="nil"/>
              <w:left w:val="single" w:color="auto" w:sz="4" w:space="0"/>
              <w:bottom w:val="single" w:color="auto" w:sz="4" w:space="0"/>
              <w:right w:val="single" w:color="auto" w:sz="4" w:space="0"/>
            </w:tcBorders>
            <w:shd w:val="clear" w:color="auto" w:fill="auto"/>
            <w:vAlign w:val="center"/>
          </w:tcPr>
          <w:p w14:paraId="6D45FB53">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农村生态质量</w:t>
            </w:r>
          </w:p>
        </w:tc>
        <w:tc>
          <w:tcPr>
            <w:tcW w:w="2977" w:type="dxa"/>
            <w:tcBorders>
              <w:top w:val="nil"/>
              <w:left w:val="nil"/>
              <w:bottom w:val="single" w:color="auto" w:sz="4" w:space="0"/>
              <w:right w:val="single" w:color="auto" w:sz="4" w:space="0"/>
            </w:tcBorders>
            <w:shd w:val="clear" w:color="auto" w:fill="auto"/>
            <w:noWrap/>
            <w:vAlign w:val="center"/>
          </w:tcPr>
          <w:p w14:paraId="5F02E19B">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累计建成高标准农田面积（万亩）</w:t>
            </w:r>
          </w:p>
        </w:tc>
        <w:tc>
          <w:tcPr>
            <w:tcW w:w="992" w:type="dxa"/>
            <w:tcBorders>
              <w:top w:val="nil"/>
              <w:left w:val="nil"/>
              <w:bottom w:val="single" w:color="auto" w:sz="4" w:space="0"/>
              <w:right w:val="single" w:color="auto" w:sz="4" w:space="0"/>
            </w:tcBorders>
            <w:shd w:val="clear" w:color="auto" w:fill="auto"/>
            <w:noWrap/>
            <w:vAlign w:val="center"/>
          </w:tcPr>
          <w:p w14:paraId="70C47CAC">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97.96</w:t>
            </w:r>
          </w:p>
        </w:tc>
        <w:tc>
          <w:tcPr>
            <w:tcW w:w="1276" w:type="dxa"/>
            <w:tcBorders>
              <w:top w:val="nil"/>
              <w:left w:val="nil"/>
              <w:bottom w:val="single" w:color="auto" w:sz="4" w:space="0"/>
              <w:right w:val="single" w:color="auto" w:sz="4" w:space="0"/>
            </w:tcBorders>
            <w:shd w:val="clear" w:color="auto" w:fill="auto"/>
            <w:noWrap/>
            <w:vAlign w:val="center"/>
          </w:tcPr>
          <w:p w14:paraId="292AE59B">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98.14</w:t>
            </w:r>
          </w:p>
        </w:tc>
        <w:tc>
          <w:tcPr>
            <w:tcW w:w="1276" w:type="dxa"/>
            <w:tcBorders>
              <w:top w:val="nil"/>
              <w:left w:val="nil"/>
              <w:bottom w:val="single" w:color="auto" w:sz="4" w:space="0"/>
              <w:right w:val="single" w:color="auto" w:sz="4" w:space="0"/>
            </w:tcBorders>
            <w:shd w:val="clear" w:color="auto" w:fill="auto"/>
            <w:noWrap/>
            <w:vAlign w:val="center"/>
          </w:tcPr>
          <w:p w14:paraId="5D7B9D04">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98.14</w:t>
            </w:r>
          </w:p>
        </w:tc>
        <w:tc>
          <w:tcPr>
            <w:tcW w:w="1071" w:type="dxa"/>
            <w:tcBorders>
              <w:top w:val="nil"/>
              <w:left w:val="nil"/>
              <w:bottom w:val="single" w:color="auto" w:sz="4" w:space="0"/>
              <w:right w:val="single" w:color="auto" w:sz="4" w:space="0"/>
            </w:tcBorders>
            <w:shd w:val="clear" w:color="auto" w:fill="auto"/>
            <w:noWrap/>
            <w:vAlign w:val="center"/>
          </w:tcPr>
          <w:p w14:paraId="6AFA300B">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229EC978">
        <w:tblPrEx>
          <w:tblCellMar>
            <w:top w:w="0" w:type="dxa"/>
            <w:left w:w="108" w:type="dxa"/>
            <w:bottom w:w="0" w:type="dxa"/>
            <w:right w:w="108" w:type="dxa"/>
          </w:tblCellMar>
        </w:tblPrEx>
        <w:trPr>
          <w:trHeight w:val="567" w:hRule="atLeast"/>
          <w:jc w:val="center"/>
        </w:trPr>
        <w:tc>
          <w:tcPr>
            <w:tcW w:w="704" w:type="dxa"/>
            <w:vMerge w:val="continue"/>
            <w:tcBorders>
              <w:top w:val="nil"/>
              <w:left w:val="single" w:color="auto" w:sz="4" w:space="0"/>
              <w:bottom w:val="single" w:color="auto" w:sz="4" w:space="0"/>
              <w:right w:val="single" w:color="auto" w:sz="4" w:space="0"/>
            </w:tcBorders>
            <w:vAlign w:val="center"/>
          </w:tcPr>
          <w:p w14:paraId="4942036D">
            <w:pPr>
              <w:widowControl/>
              <w:spacing w:before="0" w:after="0" w:line="240" w:lineRule="auto"/>
              <w:ind w:firstLine="0" w:firstLineChars="0"/>
              <w:jc w:val="left"/>
              <w:rPr>
                <w:rFonts w:hAnsi="等线" w:cs="宋体"/>
                <w:kern w:val="0"/>
                <w:sz w:val="24"/>
                <w:szCs w:val="24"/>
              </w:rPr>
            </w:pPr>
          </w:p>
        </w:tc>
        <w:tc>
          <w:tcPr>
            <w:tcW w:w="2977" w:type="dxa"/>
            <w:tcBorders>
              <w:top w:val="nil"/>
              <w:left w:val="nil"/>
              <w:bottom w:val="single" w:color="auto" w:sz="4" w:space="0"/>
              <w:right w:val="single" w:color="auto" w:sz="4" w:space="0"/>
            </w:tcBorders>
            <w:shd w:val="clear" w:color="auto" w:fill="auto"/>
            <w:noWrap/>
            <w:vAlign w:val="center"/>
          </w:tcPr>
          <w:p w14:paraId="35983622">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累计改造提升高标准农田面积（万亩）</w:t>
            </w:r>
          </w:p>
        </w:tc>
        <w:tc>
          <w:tcPr>
            <w:tcW w:w="992" w:type="dxa"/>
            <w:tcBorders>
              <w:top w:val="nil"/>
              <w:left w:val="nil"/>
              <w:bottom w:val="single" w:color="auto" w:sz="4" w:space="0"/>
              <w:right w:val="single" w:color="auto" w:sz="4" w:space="0"/>
            </w:tcBorders>
            <w:shd w:val="clear" w:color="auto" w:fill="auto"/>
            <w:noWrap/>
            <w:vAlign w:val="center"/>
          </w:tcPr>
          <w:p w14:paraId="39EFDCF6">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0</w:t>
            </w:r>
          </w:p>
        </w:tc>
        <w:tc>
          <w:tcPr>
            <w:tcW w:w="1276" w:type="dxa"/>
            <w:tcBorders>
              <w:top w:val="nil"/>
              <w:left w:val="nil"/>
              <w:bottom w:val="single" w:color="auto" w:sz="4" w:space="0"/>
              <w:right w:val="single" w:color="auto" w:sz="4" w:space="0"/>
            </w:tcBorders>
            <w:shd w:val="clear" w:color="auto" w:fill="auto"/>
            <w:noWrap/>
            <w:vAlign w:val="center"/>
          </w:tcPr>
          <w:p w14:paraId="0C505E65">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11.53</w:t>
            </w:r>
          </w:p>
        </w:tc>
        <w:tc>
          <w:tcPr>
            <w:tcW w:w="1276" w:type="dxa"/>
            <w:tcBorders>
              <w:top w:val="nil"/>
              <w:left w:val="nil"/>
              <w:bottom w:val="single" w:color="auto" w:sz="4" w:space="0"/>
              <w:right w:val="single" w:color="auto" w:sz="4" w:space="0"/>
            </w:tcBorders>
            <w:shd w:val="clear" w:color="auto" w:fill="auto"/>
            <w:noWrap/>
            <w:vAlign w:val="center"/>
          </w:tcPr>
          <w:p w14:paraId="76E1E30C">
            <w:pPr>
              <w:widowControl/>
              <w:spacing w:before="0" w:after="0" w:line="240" w:lineRule="auto"/>
              <w:ind w:firstLine="0" w:firstLineChars="0"/>
              <w:jc w:val="center"/>
              <w:rPr>
                <w:rFonts w:hAnsi="等线" w:cs="宋体"/>
                <w:kern w:val="0"/>
                <w:sz w:val="24"/>
                <w:szCs w:val="24"/>
              </w:rPr>
            </w:pPr>
            <w:r>
              <w:rPr>
                <w:rFonts w:hint="eastAsia"/>
                <w:sz w:val="24"/>
                <w:szCs w:val="24"/>
              </w:rPr>
              <w:t>35.69</w:t>
            </w:r>
          </w:p>
        </w:tc>
        <w:tc>
          <w:tcPr>
            <w:tcW w:w="1071" w:type="dxa"/>
            <w:tcBorders>
              <w:top w:val="nil"/>
              <w:left w:val="nil"/>
              <w:bottom w:val="single" w:color="auto" w:sz="4" w:space="0"/>
              <w:right w:val="single" w:color="auto" w:sz="4" w:space="0"/>
            </w:tcBorders>
            <w:shd w:val="clear" w:color="auto" w:fill="auto"/>
            <w:noWrap/>
            <w:vAlign w:val="center"/>
          </w:tcPr>
          <w:p w14:paraId="51760958">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37FF413E">
        <w:tblPrEx>
          <w:tblCellMar>
            <w:top w:w="0" w:type="dxa"/>
            <w:left w:w="108" w:type="dxa"/>
            <w:bottom w:w="0" w:type="dxa"/>
            <w:right w:w="108" w:type="dxa"/>
          </w:tblCellMar>
        </w:tblPrEx>
        <w:trPr>
          <w:trHeight w:val="567" w:hRule="atLeast"/>
          <w:jc w:val="center"/>
        </w:trPr>
        <w:tc>
          <w:tcPr>
            <w:tcW w:w="704" w:type="dxa"/>
            <w:vMerge w:val="continue"/>
            <w:tcBorders>
              <w:top w:val="nil"/>
              <w:left w:val="single" w:color="auto" w:sz="4" w:space="0"/>
              <w:bottom w:val="single" w:color="auto" w:sz="4" w:space="0"/>
              <w:right w:val="single" w:color="auto" w:sz="4" w:space="0"/>
            </w:tcBorders>
            <w:vAlign w:val="center"/>
          </w:tcPr>
          <w:p w14:paraId="45EBCFB6">
            <w:pPr>
              <w:widowControl/>
              <w:spacing w:before="0" w:after="0" w:line="240" w:lineRule="auto"/>
              <w:ind w:firstLine="0" w:firstLineChars="0"/>
              <w:jc w:val="left"/>
              <w:rPr>
                <w:rFonts w:hAnsi="等线" w:cs="宋体"/>
                <w:kern w:val="0"/>
                <w:sz w:val="24"/>
                <w:szCs w:val="24"/>
              </w:rPr>
            </w:pPr>
          </w:p>
        </w:tc>
        <w:tc>
          <w:tcPr>
            <w:tcW w:w="2977" w:type="dxa"/>
            <w:tcBorders>
              <w:top w:val="nil"/>
              <w:left w:val="nil"/>
              <w:bottom w:val="single" w:color="auto" w:sz="4" w:space="0"/>
              <w:right w:val="single" w:color="auto" w:sz="4" w:space="0"/>
            </w:tcBorders>
            <w:shd w:val="clear" w:color="auto" w:fill="auto"/>
            <w:noWrap/>
            <w:vAlign w:val="center"/>
          </w:tcPr>
          <w:p w14:paraId="0775342B">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农田灌溉水有效利用系数</w:t>
            </w:r>
          </w:p>
        </w:tc>
        <w:tc>
          <w:tcPr>
            <w:tcW w:w="992" w:type="dxa"/>
            <w:tcBorders>
              <w:top w:val="nil"/>
              <w:left w:val="nil"/>
              <w:bottom w:val="single" w:color="auto" w:sz="4" w:space="0"/>
              <w:right w:val="single" w:color="auto" w:sz="4" w:space="0"/>
            </w:tcBorders>
            <w:shd w:val="clear" w:color="auto" w:fill="auto"/>
            <w:noWrap/>
            <w:vAlign w:val="center"/>
          </w:tcPr>
          <w:p w14:paraId="2B3407E8">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0.516</w:t>
            </w:r>
          </w:p>
        </w:tc>
        <w:tc>
          <w:tcPr>
            <w:tcW w:w="1276" w:type="dxa"/>
            <w:tcBorders>
              <w:top w:val="nil"/>
              <w:left w:val="nil"/>
              <w:bottom w:val="single" w:color="auto" w:sz="4" w:space="0"/>
              <w:right w:val="single" w:color="auto" w:sz="4" w:space="0"/>
            </w:tcBorders>
            <w:shd w:val="clear" w:color="auto" w:fill="auto"/>
            <w:noWrap/>
            <w:vAlign w:val="center"/>
          </w:tcPr>
          <w:p w14:paraId="2701D6E3">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276" w:type="dxa"/>
            <w:tcBorders>
              <w:top w:val="nil"/>
              <w:left w:val="nil"/>
              <w:bottom w:val="single" w:color="auto" w:sz="4" w:space="0"/>
              <w:right w:val="single" w:color="auto" w:sz="4" w:space="0"/>
            </w:tcBorders>
            <w:shd w:val="clear" w:color="auto" w:fill="auto"/>
            <w:noWrap/>
            <w:vAlign w:val="center"/>
          </w:tcPr>
          <w:p w14:paraId="609CBA35">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071" w:type="dxa"/>
            <w:tcBorders>
              <w:top w:val="nil"/>
              <w:left w:val="nil"/>
              <w:bottom w:val="single" w:color="auto" w:sz="4" w:space="0"/>
              <w:right w:val="single" w:color="auto" w:sz="4" w:space="0"/>
            </w:tcBorders>
            <w:shd w:val="clear" w:color="auto" w:fill="auto"/>
            <w:noWrap/>
            <w:vAlign w:val="center"/>
          </w:tcPr>
          <w:p w14:paraId="686A542B">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77B0EA35">
        <w:tblPrEx>
          <w:tblCellMar>
            <w:top w:w="0" w:type="dxa"/>
            <w:left w:w="108" w:type="dxa"/>
            <w:bottom w:w="0" w:type="dxa"/>
            <w:right w:w="108" w:type="dxa"/>
          </w:tblCellMar>
        </w:tblPrEx>
        <w:trPr>
          <w:trHeight w:val="567" w:hRule="atLeast"/>
          <w:jc w:val="center"/>
        </w:trPr>
        <w:tc>
          <w:tcPr>
            <w:tcW w:w="704" w:type="dxa"/>
            <w:vMerge w:val="continue"/>
            <w:tcBorders>
              <w:top w:val="nil"/>
              <w:left w:val="single" w:color="auto" w:sz="4" w:space="0"/>
              <w:bottom w:val="single" w:color="auto" w:sz="4" w:space="0"/>
              <w:right w:val="single" w:color="auto" w:sz="4" w:space="0"/>
            </w:tcBorders>
            <w:vAlign w:val="center"/>
          </w:tcPr>
          <w:p w14:paraId="6F9D6B6F">
            <w:pPr>
              <w:widowControl/>
              <w:spacing w:before="0" w:after="0" w:line="240" w:lineRule="auto"/>
              <w:ind w:firstLine="0" w:firstLineChars="0"/>
              <w:jc w:val="left"/>
              <w:rPr>
                <w:rFonts w:hAnsi="等线" w:cs="宋体"/>
                <w:kern w:val="0"/>
                <w:sz w:val="24"/>
                <w:szCs w:val="24"/>
              </w:rPr>
            </w:pPr>
          </w:p>
        </w:tc>
        <w:tc>
          <w:tcPr>
            <w:tcW w:w="2977" w:type="dxa"/>
            <w:tcBorders>
              <w:top w:val="nil"/>
              <w:left w:val="nil"/>
              <w:bottom w:val="single" w:color="auto" w:sz="4" w:space="0"/>
              <w:right w:val="single" w:color="auto" w:sz="4" w:space="0"/>
            </w:tcBorders>
            <w:shd w:val="clear" w:color="auto" w:fill="auto"/>
            <w:noWrap/>
            <w:vAlign w:val="center"/>
          </w:tcPr>
          <w:p w14:paraId="152FCD8D">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农村生活垃圾处理率（%）</w:t>
            </w:r>
          </w:p>
        </w:tc>
        <w:tc>
          <w:tcPr>
            <w:tcW w:w="992" w:type="dxa"/>
            <w:tcBorders>
              <w:top w:val="nil"/>
              <w:left w:val="nil"/>
              <w:bottom w:val="single" w:color="auto" w:sz="4" w:space="0"/>
              <w:right w:val="single" w:color="auto" w:sz="4" w:space="0"/>
            </w:tcBorders>
            <w:shd w:val="clear" w:color="auto" w:fill="auto"/>
            <w:noWrap/>
            <w:vAlign w:val="center"/>
          </w:tcPr>
          <w:p w14:paraId="37430531">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1</w:t>
            </w:r>
            <w:r>
              <w:rPr>
                <w:rFonts w:hAnsi="等线" w:cs="宋体"/>
                <w:kern w:val="0"/>
                <w:sz w:val="24"/>
                <w:szCs w:val="24"/>
              </w:rPr>
              <w:t>00</w:t>
            </w:r>
          </w:p>
        </w:tc>
        <w:tc>
          <w:tcPr>
            <w:tcW w:w="1276" w:type="dxa"/>
            <w:tcBorders>
              <w:top w:val="nil"/>
              <w:left w:val="nil"/>
              <w:bottom w:val="single" w:color="auto" w:sz="4" w:space="0"/>
              <w:right w:val="single" w:color="auto" w:sz="4" w:space="0"/>
            </w:tcBorders>
            <w:shd w:val="clear" w:color="auto" w:fill="auto"/>
            <w:noWrap/>
            <w:vAlign w:val="center"/>
          </w:tcPr>
          <w:p w14:paraId="164A6005">
            <w:pPr>
              <w:widowControl/>
              <w:spacing w:before="0" w:after="0" w:line="240" w:lineRule="auto"/>
              <w:ind w:firstLine="0" w:firstLineChars="0"/>
              <w:jc w:val="center"/>
              <w:rPr>
                <w:rFonts w:hAnsi="等线" w:cs="宋体"/>
                <w:kern w:val="0"/>
                <w:sz w:val="24"/>
                <w:szCs w:val="24"/>
              </w:rPr>
            </w:pPr>
            <w:r>
              <w:rPr>
                <w:rFonts w:hAnsi="等线" w:cs="宋体"/>
                <w:kern w:val="0"/>
                <w:sz w:val="24"/>
                <w:szCs w:val="24"/>
              </w:rPr>
              <w:t>100</w:t>
            </w:r>
          </w:p>
        </w:tc>
        <w:tc>
          <w:tcPr>
            <w:tcW w:w="1276" w:type="dxa"/>
            <w:tcBorders>
              <w:top w:val="nil"/>
              <w:left w:val="nil"/>
              <w:bottom w:val="single" w:color="auto" w:sz="4" w:space="0"/>
              <w:right w:val="single" w:color="auto" w:sz="4" w:space="0"/>
            </w:tcBorders>
            <w:shd w:val="clear" w:color="auto" w:fill="auto"/>
            <w:noWrap/>
            <w:vAlign w:val="center"/>
          </w:tcPr>
          <w:p w14:paraId="6E8250CA">
            <w:pPr>
              <w:widowControl/>
              <w:spacing w:before="0" w:after="0" w:line="240" w:lineRule="auto"/>
              <w:ind w:firstLine="0" w:firstLineChars="0"/>
              <w:jc w:val="center"/>
              <w:rPr>
                <w:rFonts w:hAnsi="等线" w:cs="宋体"/>
                <w:kern w:val="0"/>
                <w:sz w:val="24"/>
                <w:szCs w:val="24"/>
              </w:rPr>
            </w:pPr>
            <w:r>
              <w:rPr>
                <w:rFonts w:hAnsi="等线" w:cs="宋体"/>
                <w:kern w:val="0"/>
                <w:sz w:val="24"/>
                <w:szCs w:val="24"/>
              </w:rPr>
              <w:t>100</w:t>
            </w:r>
          </w:p>
        </w:tc>
        <w:tc>
          <w:tcPr>
            <w:tcW w:w="1071" w:type="dxa"/>
            <w:tcBorders>
              <w:top w:val="nil"/>
              <w:left w:val="nil"/>
              <w:bottom w:val="single" w:color="auto" w:sz="4" w:space="0"/>
              <w:right w:val="single" w:color="auto" w:sz="4" w:space="0"/>
            </w:tcBorders>
            <w:shd w:val="clear" w:color="auto" w:fill="auto"/>
            <w:noWrap/>
            <w:vAlign w:val="center"/>
          </w:tcPr>
          <w:p w14:paraId="4AC28E74">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bl>
    <w:p w14:paraId="42DAEAD5">
      <w:pPr>
        <w:spacing w:before="0" w:after="0"/>
        <w:ind w:firstLine="560"/>
      </w:pPr>
    </w:p>
    <w:p w14:paraId="3F574EB6">
      <w:pPr>
        <w:spacing w:before="0" w:after="0"/>
        <w:ind w:firstLine="560"/>
        <w:sectPr>
          <w:pgSz w:w="11906" w:h="16838"/>
          <w:pgMar w:top="1440" w:right="1800" w:bottom="1440" w:left="1800" w:header="851" w:footer="992" w:gutter="0"/>
          <w:cols w:space="720" w:num="1"/>
          <w:docGrid w:type="lines" w:linePitch="312" w:charSpace="0"/>
        </w:sectPr>
      </w:pPr>
    </w:p>
    <w:p w14:paraId="11D38182">
      <w:pPr>
        <w:spacing w:before="260" w:after="260" w:line="560" w:lineRule="exact"/>
        <w:ind w:firstLine="0" w:firstLineChars="0"/>
        <w:jc w:val="center"/>
        <w:outlineLvl w:val="1"/>
        <w:rPr>
          <w:rFonts w:ascii="黑体" w:hAnsi="黑体" w:eastAsia="黑体" w:cs="仿宋"/>
          <w:b/>
          <w:bCs/>
          <w:sz w:val="32"/>
          <w:szCs w:val="32"/>
        </w:rPr>
      </w:pPr>
      <w:bookmarkStart w:id="84" w:name="_Toc86257426"/>
      <w:bookmarkStart w:id="85" w:name="_Toc131005115"/>
      <w:r>
        <w:rPr>
          <w:rFonts w:hint="eastAsia" w:ascii="黑体" w:hAnsi="黑体" w:eastAsia="黑体" w:cs="仿宋"/>
          <w:b/>
          <w:bCs/>
          <w:sz w:val="32"/>
          <w:szCs w:val="32"/>
        </w:rPr>
        <w:t>第四节</w:t>
      </w:r>
      <w:r>
        <w:rPr>
          <w:rFonts w:ascii="黑体" w:hAnsi="黑体" w:eastAsia="黑体" w:cs="仿宋"/>
          <w:b/>
          <w:bCs/>
          <w:sz w:val="32"/>
          <w:szCs w:val="32"/>
        </w:rPr>
        <w:t xml:space="preserve"> </w:t>
      </w:r>
      <w:bookmarkEnd w:id="84"/>
      <w:r>
        <w:rPr>
          <w:rFonts w:hint="eastAsia" w:ascii="黑体" w:hAnsi="黑体" w:eastAsia="黑体" w:cs="仿宋"/>
          <w:b/>
          <w:bCs/>
          <w:sz w:val="32"/>
          <w:szCs w:val="32"/>
        </w:rPr>
        <w:t>规划任务</w:t>
      </w:r>
      <w:bookmarkEnd w:id="85"/>
    </w:p>
    <w:p w14:paraId="1335D9AD">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86" w:name="_Toc86257428"/>
      <w:bookmarkStart w:id="87" w:name="_Toc121081774"/>
      <w:bookmarkStart w:id="88" w:name="_Toc88162783"/>
      <w:bookmarkStart w:id="89" w:name="_Toc98172954"/>
      <w:bookmarkStart w:id="90" w:name="_Toc127908957"/>
      <w:bookmarkStart w:id="91" w:name="_Toc86257427"/>
      <w:bookmarkStart w:id="92" w:name="_Toc88162782"/>
      <w:r>
        <w:rPr>
          <w:rFonts w:hint="eastAsia" w:ascii="黑体" w:hAnsi="黑体" w:eastAsia="黑体" w:cs="黑体"/>
          <w:b w:val="0"/>
          <w:sz w:val="30"/>
          <w:szCs w:val="30"/>
        </w:rPr>
        <w:t>一、</w:t>
      </w:r>
      <w:bookmarkEnd w:id="86"/>
      <w:bookmarkEnd w:id="87"/>
      <w:bookmarkEnd w:id="88"/>
      <w:bookmarkEnd w:id="89"/>
      <w:r>
        <w:rPr>
          <w:rFonts w:hint="eastAsia" w:ascii="黑体" w:hAnsi="黑体" w:eastAsia="黑体" w:cs="黑体"/>
          <w:b w:val="0"/>
          <w:sz w:val="30"/>
          <w:szCs w:val="30"/>
        </w:rPr>
        <w:t>加强湿地保护修复，维护生物多样性</w:t>
      </w:r>
      <w:bookmarkEnd w:id="90"/>
    </w:p>
    <w:p w14:paraId="3BD04C30">
      <w:pPr>
        <w:ind w:firstLine="560"/>
      </w:pPr>
      <w:r>
        <w:rPr>
          <w:rFonts w:hint="eastAsia"/>
        </w:rPr>
        <w:t>围绕三湖地方级湿地公园、澄碧湖地方级湿地公园、赣江、抚河等重点生态区域，</w:t>
      </w:r>
      <w:r>
        <w:t>推进湿地生态系统保护与修复</w:t>
      </w:r>
      <w:r>
        <w:rPr>
          <w:rFonts w:hint="eastAsia"/>
        </w:rPr>
        <w:t>。</w:t>
      </w:r>
      <w:r>
        <w:t>强化湿地管控</w:t>
      </w:r>
      <w:r>
        <w:rPr>
          <w:rFonts w:hint="eastAsia"/>
        </w:rPr>
        <w:t>，健全湿地监测评价体系，</w:t>
      </w:r>
      <w:r>
        <w:t>重点针对湿地功能退化，湿地面积萎缩等问题</w:t>
      </w:r>
      <w:r>
        <w:rPr>
          <w:rFonts w:hint="eastAsia"/>
        </w:rPr>
        <w:t>，采取</w:t>
      </w:r>
      <w:r>
        <w:t>湿地水源保障</w:t>
      </w:r>
      <w:r>
        <w:rPr>
          <w:rFonts w:hint="eastAsia"/>
        </w:rPr>
        <w:t>、</w:t>
      </w:r>
      <w:r>
        <w:t>湿地植被修复</w:t>
      </w:r>
      <w:r>
        <w:rPr>
          <w:rFonts w:hint="eastAsia"/>
        </w:rPr>
        <w:t>、</w:t>
      </w:r>
      <w:r>
        <w:t>湿地污染治理</w:t>
      </w:r>
      <w:r>
        <w:rPr>
          <w:rFonts w:hint="eastAsia"/>
        </w:rPr>
        <w:t>、</w:t>
      </w:r>
      <w:r>
        <w:t>栖息地生境修复</w:t>
      </w:r>
      <w:r>
        <w:rPr>
          <w:rFonts w:hint="eastAsia"/>
        </w:rPr>
        <w:t>、</w:t>
      </w:r>
      <w:r>
        <w:t>水生生物养护</w:t>
      </w:r>
      <w:r>
        <w:rPr>
          <w:rFonts w:hint="eastAsia"/>
        </w:rPr>
        <w:t>等多种措施修复湿地生态。</w:t>
      </w:r>
      <w:r>
        <w:t>开展生物多样性资源本底调查</w:t>
      </w:r>
      <w:r>
        <w:rPr>
          <w:rFonts w:hint="eastAsia"/>
        </w:rPr>
        <w:t>，</w:t>
      </w:r>
      <w:r>
        <w:t>构建完备的生物多样性保护监测体系</w:t>
      </w:r>
      <w:r>
        <w:rPr>
          <w:rFonts w:hint="eastAsia"/>
        </w:rPr>
        <w:t>，强化生物物种和遗传资源的保护，</w:t>
      </w:r>
      <w:r>
        <w:t>持续提升外来入侵物种防控管理水平</w:t>
      </w:r>
      <w:r>
        <w:rPr>
          <w:rFonts w:hint="eastAsia"/>
        </w:rPr>
        <w:t>，加强长江江豚、白头鹤</w:t>
      </w:r>
      <w:r>
        <w:t>等珍稀野生动植物及其栖息地保护恢复</w:t>
      </w:r>
      <w:r>
        <w:rPr>
          <w:rFonts w:hint="eastAsia"/>
        </w:rPr>
        <w:t>。擦亮南昌</w:t>
      </w:r>
      <w:r>
        <w:t>“国际湿地城市”</w:t>
      </w:r>
      <w:r>
        <w:rPr>
          <w:rFonts w:hint="eastAsia"/>
        </w:rPr>
        <w:t>名片，加强城市湿地公园建设和小微湿地修复，保护、挖掘、拓展湿地公园文化功能，塑造湿地生态景观，促进水城融合。</w:t>
      </w:r>
      <w:r>
        <w:t>到2035年，</w:t>
      </w:r>
      <w:r>
        <w:rPr>
          <w:rFonts w:hint="eastAsia"/>
        </w:rPr>
        <w:t>全县</w:t>
      </w:r>
      <w:r>
        <w:t>湿地保护率</w:t>
      </w:r>
      <w:r>
        <w:rPr>
          <w:rFonts w:hint="eastAsia"/>
        </w:rPr>
        <w:t>稳定在</w:t>
      </w:r>
      <w:r>
        <w:t>58%</w:t>
      </w:r>
      <w:r>
        <w:rPr>
          <w:rFonts w:hint="eastAsia"/>
        </w:rPr>
        <w:t>，国家、省级重点保护野生动植物物种保护率</w:t>
      </w:r>
      <w:r>
        <w:t>达87%以上</w:t>
      </w:r>
      <w:r>
        <w:rPr>
          <w:rFonts w:hint="eastAsia"/>
        </w:rPr>
        <w:t>。</w:t>
      </w:r>
    </w:p>
    <w:p w14:paraId="252818DC">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93" w:name="_Toc127908958"/>
      <w:r>
        <w:rPr>
          <w:rFonts w:hint="eastAsia" w:ascii="黑体" w:hAnsi="黑体" w:eastAsia="黑体" w:cs="黑体"/>
          <w:b w:val="0"/>
          <w:sz w:val="30"/>
          <w:szCs w:val="30"/>
        </w:rPr>
        <w:t>二、推进水系生态治理，改善河湖生态质量</w:t>
      </w:r>
      <w:bookmarkEnd w:id="93"/>
    </w:p>
    <w:p w14:paraId="4BFA359F">
      <w:pPr>
        <w:spacing w:before="0" w:after="0"/>
        <w:ind w:firstLine="560"/>
      </w:pPr>
      <w:r>
        <w:rPr>
          <w:rFonts w:hint="eastAsia"/>
        </w:rPr>
        <w:t>以鄱阳湖为核心，赣江和抚河流域为重点，推进全域水系综合治理。加快推进赣江岸线、莲塘河、雄溪河、昌南新城景观明渠等水生态治理工程，</w:t>
      </w:r>
      <w:r>
        <w:t>采取水源地保护、</w:t>
      </w:r>
      <w:r>
        <w:rPr>
          <w:rFonts w:hint="eastAsia"/>
        </w:rPr>
        <w:t>岸线整治</w:t>
      </w:r>
      <w:r>
        <w:t>、生态补水、河湖水系连通、污染源控制等措施，</w:t>
      </w:r>
      <w:r>
        <w:rPr>
          <w:rFonts w:hint="eastAsia"/>
        </w:rPr>
        <w:t>落实“一河一策”、“一湖一策”。</w:t>
      </w:r>
      <w:r>
        <w:t>结合河道</w:t>
      </w:r>
      <w:r>
        <w:rPr>
          <w:rFonts w:hint="eastAsia"/>
        </w:rPr>
        <w:t>、坑塘</w:t>
      </w:r>
      <w:r>
        <w:t>清淤与防洪工程建设，</w:t>
      </w:r>
      <w:r>
        <w:rPr>
          <w:rFonts w:hint="eastAsia"/>
        </w:rPr>
        <w:t>因地制宜建设亲水生态岸线，</w:t>
      </w:r>
      <w:r>
        <w:t>统筹推进</w:t>
      </w:r>
      <w:r>
        <w:rPr>
          <w:rFonts w:hint="eastAsia"/>
        </w:rPr>
        <w:t>南昌县城乡</w:t>
      </w:r>
      <w:r>
        <w:t>水环境综合整治，提升重要水源地和江河湖泊生态功能</w:t>
      </w:r>
      <w:r>
        <w:rPr>
          <w:rFonts w:hint="eastAsia"/>
        </w:rPr>
        <w:t>，促进河湖湿地水生态质量大幅改善，建设河湖共济的水系连通网络。</w:t>
      </w:r>
      <w:r>
        <w:t>到2035年，</w:t>
      </w:r>
      <w:r>
        <w:rPr>
          <w:rFonts w:hint="eastAsia"/>
        </w:rPr>
        <w:t>重要河湖水域岸线监管率达到</w:t>
      </w:r>
      <w:r>
        <w:t>85%</w:t>
      </w:r>
      <w:r>
        <w:rPr>
          <w:rFonts w:hint="eastAsia"/>
        </w:rPr>
        <w:t>，地表水达到或好于</w:t>
      </w:r>
      <w:r>
        <w:t>III类水体比例</w:t>
      </w:r>
      <w:r>
        <w:rPr>
          <w:rFonts w:hint="eastAsia"/>
        </w:rPr>
        <w:t>稳定在</w:t>
      </w:r>
      <w:r>
        <w:t>91.7%</w:t>
      </w:r>
      <w:r>
        <w:rPr>
          <w:rFonts w:hint="eastAsia"/>
        </w:rPr>
        <w:t>。</w:t>
      </w:r>
    </w:p>
    <w:bookmarkEnd w:id="91"/>
    <w:bookmarkEnd w:id="92"/>
    <w:p w14:paraId="0F00D4A7">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94" w:name="_Toc88162784"/>
      <w:bookmarkStart w:id="95" w:name="_Toc121081775"/>
      <w:bookmarkStart w:id="96" w:name="_Toc98172956"/>
      <w:bookmarkStart w:id="97" w:name="_Toc86257429"/>
      <w:bookmarkStart w:id="98" w:name="_Toc127908959"/>
      <w:r>
        <w:rPr>
          <w:rFonts w:hint="eastAsia" w:ascii="黑体" w:hAnsi="黑体" w:eastAsia="黑体" w:cs="黑体"/>
          <w:b w:val="0"/>
          <w:sz w:val="30"/>
          <w:szCs w:val="30"/>
        </w:rPr>
        <w:t>三、</w:t>
      </w:r>
      <w:bookmarkEnd w:id="94"/>
      <w:bookmarkEnd w:id="95"/>
      <w:bookmarkEnd w:id="96"/>
      <w:bookmarkEnd w:id="97"/>
      <w:r>
        <w:rPr>
          <w:rFonts w:hint="eastAsia" w:ascii="黑体" w:hAnsi="黑体" w:eastAsia="黑体" w:cs="黑体"/>
          <w:b w:val="0"/>
          <w:sz w:val="30"/>
          <w:szCs w:val="30"/>
        </w:rPr>
        <w:t>巩固森林生态质量，筑牢生态安全屏障</w:t>
      </w:r>
      <w:bookmarkEnd w:id="98"/>
    </w:p>
    <w:p w14:paraId="1D951A65">
      <w:pPr>
        <w:spacing w:before="0" w:after="0"/>
        <w:ind w:firstLine="560"/>
      </w:pPr>
      <w:r>
        <w:rPr>
          <w:rFonts w:hint="eastAsia"/>
        </w:rPr>
        <w:t>加快构建严格保护森林资源的治理体系，防范森林资源破坏行为，以</w:t>
      </w:r>
      <w:r>
        <w:t>白虎岭森林集中分布区、冈上沙化土地生态脆弱区等</w:t>
      </w:r>
      <w:r>
        <w:rPr>
          <w:rFonts w:hint="eastAsia"/>
        </w:rPr>
        <w:t>森林</w:t>
      </w:r>
      <w:r>
        <w:t>重点</w:t>
      </w:r>
      <w:r>
        <w:rPr>
          <w:rFonts w:hint="eastAsia"/>
        </w:rPr>
        <w:t>分布</w:t>
      </w:r>
      <w:r>
        <w:t>区域</w:t>
      </w:r>
      <w:r>
        <w:rPr>
          <w:rFonts w:hint="eastAsia"/>
        </w:rPr>
        <w:t>为核心，</w:t>
      </w:r>
      <w:r>
        <w:t>实行林地集中保护区管理，</w:t>
      </w:r>
      <w:r>
        <w:rPr>
          <w:rFonts w:hint="eastAsia"/>
        </w:rPr>
        <w:t>积极开展林相改造、低产低效林改造、封山育林和森林生态修复工程，提升森林生态系统质量，增强</w:t>
      </w:r>
      <w:r>
        <w:t>水源涵养和水土保持功能</w:t>
      </w:r>
      <w:r>
        <w:rPr>
          <w:rFonts w:hint="eastAsia"/>
        </w:rPr>
        <w:t>。强化森林资源保护，加强森林火灾防控，建立健全林草有害生物的监测预警体系</w:t>
      </w:r>
      <w:r>
        <w:t>,开展好松材线虫病等重大林业有害生物的防控。</w:t>
      </w:r>
      <w:r>
        <w:rPr>
          <w:rFonts w:hint="eastAsia"/>
        </w:rPr>
        <w:t>加强森林资源培育，统筹推进国土造林绿化，持续增加全县森林资源总量，提升生态保障能力，</w:t>
      </w:r>
      <w:bookmarkStart w:id="99" w:name="_Hlk127793607"/>
      <w:r>
        <w:rPr>
          <w:rFonts w:hint="eastAsia"/>
        </w:rPr>
        <w:t>筑牢昌南生态屏障</w:t>
      </w:r>
      <w:bookmarkEnd w:id="99"/>
      <w:r>
        <w:rPr>
          <w:rFonts w:hint="eastAsia"/>
        </w:rPr>
        <w:t>。到</w:t>
      </w:r>
      <w:r>
        <w:t>2035年，全县森林覆盖率</w:t>
      </w:r>
      <w:r>
        <w:rPr>
          <w:rFonts w:hint="eastAsia"/>
        </w:rPr>
        <w:t>稳定在</w:t>
      </w:r>
      <w:r>
        <w:t>10.76%，</w:t>
      </w:r>
      <w:r>
        <w:rPr>
          <w:rFonts w:hint="eastAsia"/>
        </w:rPr>
        <w:t>水土保持率稳定在</w:t>
      </w:r>
      <w:r>
        <w:t>86.5%</w:t>
      </w:r>
      <w:r>
        <w:rPr>
          <w:rFonts w:hint="eastAsia"/>
        </w:rPr>
        <w:t>以上。</w:t>
      </w:r>
    </w:p>
    <w:p w14:paraId="0E07CA72">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100" w:name="_Toc98172957"/>
      <w:bookmarkStart w:id="101" w:name="_Toc121081776"/>
      <w:bookmarkStart w:id="102" w:name="_Toc86257430"/>
      <w:bookmarkStart w:id="103" w:name="_Toc88162785"/>
      <w:bookmarkStart w:id="104" w:name="_Toc127908960"/>
      <w:r>
        <w:rPr>
          <w:rFonts w:hint="eastAsia" w:ascii="黑体" w:hAnsi="黑体" w:eastAsia="黑体" w:cs="黑体"/>
          <w:b w:val="0"/>
          <w:sz w:val="30"/>
          <w:szCs w:val="30"/>
        </w:rPr>
        <w:t>四、</w:t>
      </w:r>
      <w:bookmarkEnd w:id="100"/>
      <w:bookmarkEnd w:id="101"/>
      <w:bookmarkEnd w:id="102"/>
      <w:bookmarkEnd w:id="103"/>
      <w:r>
        <w:rPr>
          <w:rFonts w:hint="eastAsia" w:ascii="黑体" w:hAnsi="黑体" w:eastAsia="黑体" w:cs="黑体"/>
          <w:b w:val="0"/>
          <w:sz w:val="30"/>
          <w:szCs w:val="30"/>
        </w:rPr>
        <w:t>提升农业生态功能，改善农村人居环境</w:t>
      </w:r>
      <w:bookmarkEnd w:id="104"/>
    </w:p>
    <w:p w14:paraId="0AB031E7">
      <w:pPr>
        <w:spacing w:before="0" w:after="0"/>
        <w:ind w:firstLine="560"/>
      </w:pPr>
      <w:r>
        <w:rPr>
          <w:rFonts w:hint="eastAsia"/>
        </w:rPr>
        <w:t>重点针对赣江下游、抚河流域两大平原农业区，开展全域土地综合整治，</w:t>
      </w:r>
      <w:r>
        <w:t>治理提升农村村容</w:t>
      </w:r>
      <w:r>
        <w:rPr>
          <w:rFonts w:hint="eastAsia"/>
        </w:rPr>
        <w:t>，</w:t>
      </w:r>
      <w:r>
        <w:t>加强乡村绿化美化</w:t>
      </w:r>
      <w:r>
        <w:rPr>
          <w:rFonts w:hint="eastAsia"/>
        </w:rPr>
        <w:t>，</w:t>
      </w:r>
      <w:r>
        <w:t>因地制宜推进</w:t>
      </w:r>
      <w:r>
        <w:rPr>
          <w:rFonts w:hint="eastAsia"/>
        </w:rPr>
        <w:t>工矿废弃地生态综合治理，改善农村人居环境。建设生态化高标准农田，对现有耕地提质改造，稳定耕地数量，提高耕地质量。加强农田生态基础设施建设，</w:t>
      </w:r>
      <w:r>
        <w:t>联通农田渠网体系，改善农田半自然生境</w:t>
      </w:r>
      <w:r>
        <w:rPr>
          <w:rFonts w:hint="eastAsia"/>
        </w:rPr>
        <w:t>，</w:t>
      </w:r>
      <w:r>
        <w:t>提升农田生态功能。</w:t>
      </w:r>
      <w:r>
        <w:rPr>
          <w:rFonts w:hint="eastAsia"/>
        </w:rPr>
        <w:t>开展农业面源污染治理，有效控制化肥农药使用，保障耕地土壤环境安全，防治耕地水土流失，改善农田生态环境。发展绿色农业，与旅游、文化、康养等产业深度融合，推动生态价值转化、提高农业产出效益，推进农业农村现代化。到</w:t>
      </w:r>
      <w:r>
        <w:t>2035年，全县</w:t>
      </w:r>
      <w:r>
        <w:rPr>
          <w:rFonts w:hint="eastAsia"/>
        </w:rPr>
        <w:t>累计建成高标准农田面积达到</w:t>
      </w:r>
      <w:r>
        <w:t>98.14</w:t>
      </w:r>
      <w:r>
        <w:rPr>
          <w:rFonts w:hint="eastAsia"/>
        </w:rPr>
        <w:t>万亩</w:t>
      </w:r>
      <w:r>
        <w:t>，</w:t>
      </w:r>
      <w:r>
        <w:rPr>
          <w:rFonts w:hint="eastAsia"/>
        </w:rPr>
        <w:t>累计改造提升高标准农田面积</w:t>
      </w:r>
      <w:r>
        <w:t>35.69</w:t>
      </w:r>
      <w:r>
        <w:rPr>
          <w:rFonts w:hint="eastAsia"/>
        </w:rPr>
        <w:t>万亩，农田灌溉水有效利用系数稳定在</w:t>
      </w:r>
      <w:r>
        <w:t>0.516</w:t>
      </w:r>
      <w:r>
        <w:rPr>
          <w:rFonts w:hint="eastAsia"/>
        </w:rPr>
        <w:t>，农村污水处理率达</w:t>
      </w:r>
      <w:r>
        <w:t>50%</w:t>
      </w:r>
      <w:r>
        <w:rPr>
          <w:rFonts w:hint="eastAsia"/>
        </w:rPr>
        <w:t>以上。</w:t>
      </w:r>
    </w:p>
    <w:p w14:paraId="05A66238">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105" w:name="_Toc121081777"/>
      <w:bookmarkStart w:id="106" w:name="_Toc98172955"/>
      <w:bookmarkStart w:id="107" w:name="_Toc127908961"/>
      <w:bookmarkStart w:id="108" w:name="_Toc88162786"/>
      <w:bookmarkStart w:id="109" w:name="_Toc86257431"/>
      <w:bookmarkStart w:id="110" w:name="_Toc98172958"/>
      <w:r>
        <w:rPr>
          <w:rFonts w:hint="eastAsia" w:ascii="黑体" w:hAnsi="黑体" w:eastAsia="黑体" w:cs="黑体"/>
          <w:b w:val="0"/>
          <w:sz w:val="30"/>
          <w:szCs w:val="30"/>
        </w:rPr>
        <w:t>五、</w:t>
      </w:r>
      <w:bookmarkEnd w:id="105"/>
      <w:bookmarkEnd w:id="106"/>
      <w:r>
        <w:rPr>
          <w:rFonts w:hint="eastAsia" w:ascii="黑体" w:hAnsi="黑体" w:eastAsia="黑体" w:cs="黑体"/>
          <w:b w:val="0"/>
          <w:sz w:val="30"/>
          <w:szCs w:val="30"/>
        </w:rPr>
        <w:t>完善城市绿地体系，构建城乡生态网络</w:t>
      </w:r>
      <w:bookmarkEnd w:id="107"/>
    </w:p>
    <w:bookmarkEnd w:id="108"/>
    <w:bookmarkEnd w:id="109"/>
    <w:bookmarkEnd w:id="110"/>
    <w:p w14:paraId="008BD408">
      <w:pPr>
        <w:spacing w:before="0" w:after="0"/>
        <w:ind w:firstLine="560"/>
      </w:pPr>
      <w:r>
        <w:rPr>
          <w:rFonts w:hint="eastAsia"/>
        </w:rPr>
        <w:t>构建各类生态廊道，提升生态系统质量和稳定性，</w:t>
      </w:r>
      <w:r>
        <w:t>围绕</w:t>
      </w:r>
      <w:r>
        <w:rPr>
          <w:rFonts w:hint="eastAsia"/>
        </w:rPr>
        <w:t>赣江、抚河故道、三干渠、雄溪河等主要</w:t>
      </w:r>
      <w:r>
        <w:t>城市水系</w:t>
      </w:r>
      <w:r>
        <w:rPr>
          <w:rFonts w:hint="eastAsia"/>
        </w:rPr>
        <w:t>，以重大交通</w:t>
      </w:r>
      <w:r>
        <w:t>廊道</w:t>
      </w:r>
      <w:r>
        <w:rPr>
          <w:rFonts w:hint="eastAsia"/>
        </w:rPr>
        <w:t>、城市公园</w:t>
      </w:r>
      <w:r>
        <w:t>、防护</w:t>
      </w:r>
      <w:r>
        <w:rPr>
          <w:rFonts w:hint="eastAsia"/>
        </w:rPr>
        <w:t>绿地</w:t>
      </w:r>
      <w:r>
        <w:t>、生态</w:t>
      </w:r>
      <w:r>
        <w:rPr>
          <w:rFonts w:hint="eastAsia"/>
        </w:rPr>
        <w:t>郊野为</w:t>
      </w:r>
      <w:r>
        <w:t>主体，</w:t>
      </w:r>
      <w:r>
        <w:rPr>
          <w:rFonts w:hint="eastAsia"/>
        </w:rPr>
        <w:t>加强南部富山乡绿楔、</w:t>
      </w:r>
      <w:r>
        <w:t>东部</w:t>
      </w:r>
      <w:r>
        <w:rPr>
          <w:rFonts w:hint="eastAsia"/>
        </w:rPr>
        <w:t>八一乡绿楔与城市内部绿地系统的联系作用，</w:t>
      </w:r>
      <w:r>
        <w:t>形成内外交织</w:t>
      </w:r>
      <w:r>
        <w:rPr>
          <w:rFonts w:hint="eastAsia"/>
        </w:rPr>
        <w:t>、联系</w:t>
      </w:r>
      <w:r>
        <w:t>城市组团的蓝绿开敞空间系统</w:t>
      </w:r>
      <w:r>
        <w:rPr>
          <w:rFonts w:hint="eastAsia"/>
        </w:rPr>
        <w:t>，全面构建互联互通、景观优美、结构稳定、功能完备的生态廊道网络体系，推动生态建设向整体化、系统化、生态化融合发展。到</w:t>
      </w:r>
      <w:r>
        <w:t>2035年，</w:t>
      </w:r>
      <w:r>
        <w:rPr>
          <w:rFonts w:hint="eastAsia"/>
        </w:rPr>
        <w:t>中心城区人均公园绿地面积达到</w:t>
      </w:r>
      <w:r>
        <w:t>8</w:t>
      </w:r>
      <w:r>
        <w:rPr>
          <w:rFonts w:hint="eastAsia"/>
        </w:rPr>
        <w:t>平方米，公园绿地和开敞空间5分钟覆盖率达到</w:t>
      </w:r>
      <w:r>
        <w:t>60%</w:t>
      </w:r>
      <w:r>
        <w:rPr>
          <w:rFonts w:hint="eastAsia"/>
        </w:rPr>
        <w:t>。</w:t>
      </w:r>
    </w:p>
    <w:p w14:paraId="5BE3E8A0">
      <w:pPr>
        <w:spacing w:before="0" w:after="0"/>
        <w:ind w:firstLine="560"/>
      </w:pPr>
      <w:r>
        <w:br w:type="page"/>
      </w:r>
    </w:p>
    <w:p w14:paraId="53EC0ADC">
      <w:pPr>
        <w:spacing w:before="240" w:after="240" w:line="578" w:lineRule="auto"/>
        <w:ind w:firstLine="0" w:firstLineChars="0"/>
        <w:jc w:val="center"/>
        <w:outlineLvl w:val="0"/>
        <w:rPr>
          <w:rFonts w:ascii="黑体" w:hAnsi="黑体" w:eastAsia="黑体"/>
          <w:b/>
          <w:bCs/>
          <w:kern w:val="44"/>
          <w:sz w:val="36"/>
          <w:szCs w:val="36"/>
        </w:rPr>
      </w:pPr>
      <w:bookmarkStart w:id="111" w:name="_Toc78481181"/>
      <w:bookmarkStart w:id="112" w:name="_Toc86257433"/>
      <w:bookmarkStart w:id="113" w:name="_Toc131005116"/>
      <w:r>
        <w:rPr>
          <w:rFonts w:hint="eastAsia" w:ascii="黑体" w:hAnsi="黑体" w:eastAsia="黑体"/>
          <w:b/>
          <w:bCs/>
          <w:kern w:val="44"/>
          <w:sz w:val="36"/>
          <w:szCs w:val="36"/>
        </w:rPr>
        <w:t xml:space="preserve">第四章  </w:t>
      </w:r>
      <w:bookmarkEnd w:id="111"/>
      <w:r>
        <w:rPr>
          <w:rFonts w:hint="eastAsia" w:ascii="黑体" w:hAnsi="黑体" w:eastAsia="黑体"/>
          <w:b/>
          <w:bCs/>
          <w:kern w:val="44"/>
          <w:sz w:val="36"/>
          <w:szCs w:val="36"/>
        </w:rPr>
        <w:t>国土空间生态修复</w:t>
      </w:r>
      <w:bookmarkEnd w:id="112"/>
      <w:r>
        <w:rPr>
          <w:rFonts w:hint="eastAsia" w:ascii="黑体" w:hAnsi="黑体" w:eastAsia="黑体"/>
          <w:b/>
          <w:bCs/>
          <w:kern w:val="44"/>
          <w:sz w:val="36"/>
          <w:szCs w:val="36"/>
        </w:rPr>
        <w:t>格局</w:t>
      </w:r>
      <w:bookmarkEnd w:id="113"/>
    </w:p>
    <w:p w14:paraId="24440D7B">
      <w:pPr>
        <w:spacing w:before="260" w:after="260" w:line="560" w:lineRule="exact"/>
        <w:ind w:firstLine="0" w:firstLineChars="0"/>
        <w:jc w:val="center"/>
        <w:outlineLvl w:val="1"/>
        <w:rPr>
          <w:rFonts w:ascii="黑体" w:hAnsi="黑体" w:eastAsia="黑体" w:cs="仿宋"/>
          <w:b/>
          <w:bCs/>
          <w:sz w:val="32"/>
          <w:szCs w:val="32"/>
        </w:rPr>
      </w:pPr>
      <w:bookmarkStart w:id="114" w:name="_Toc78481182"/>
      <w:bookmarkStart w:id="115" w:name="_Toc86257434"/>
      <w:bookmarkStart w:id="116" w:name="_Toc131005117"/>
      <w:r>
        <w:rPr>
          <w:rFonts w:hint="eastAsia" w:ascii="黑体" w:hAnsi="黑体" w:eastAsia="黑体" w:cs="仿宋"/>
          <w:b/>
          <w:bCs/>
          <w:sz w:val="32"/>
          <w:szCs w:val="32"/>
        </w:rPr>
        <w:t>第一节</w:t>
      </w:r>
      <w:bookmarkEnd w:id="114"/>
      <w:r>
        <w:rPr>
          <w:rFonts w:ascii="黑体" w:hAnsi="黑体" w:eastAsia="黑体" w:cs="仿宋"/>
          <w:b/>
          <w:bCs/>
          <w:sz w:val="32"/>
          <w:szCs w:val="32"/>
        </w:rPr>
        <w:t xml:space="preserve"> </w:t>
      </w:r>
      <w:bookmarkEnd w:id="115"/>
      <w:r>
        <w:rPr>
          <w:rFonts w:hint="eastAsia" w:ascii="黑体" w:hAnsi="黑体" w:eastAsia="黑体" w:cs="仿宋"/>
          <w:b/>
          <w:bCs/>
          <w:sz w:val="32"/>
          <w:szCs w:val="32"/>
        </w:rPr>
        <w:t>总体格局</w:t>
      </w:r>
      <w:bookmarkEnd w:id="116"/>
    </w:p>
    <w:p w14:paraId="6D862141">
      <w:pPr>
        <w:spacing w:before="0" w:after="0"/>
        <w:ind w:firstLine="560"/>
      </w:pPr>
      <w:bookmarkStart w:id="117" w:name="_Hlk79076832"/>
      <w:r>
        <w:rPr>
          <w:rFonts w:hint="eastAsia"/>
        </w:rPr>
        <w:t>以县域自然地理现状为基础，结合国土空间总体规划的生态、农业与城镇格局，同时衔接三区三线及双评价等成果，确定南昌县国土空间生态修复总体格局。遵循山水林田湖草沙生命共同体理念，根据“拥湖为核、以水破题、系统治理”的修复思路，依托鄱阳湖、赣江、抚河等自然水系及百湖千塘的生态本底，以鄱阳湖为核心，以绿地廊道、水系廊道为骨架，串联多个重要生态节点，形成“一心两脉四区多点”的国土空间生态修复总体格局</w:t>
      </w:r>
      <w:r>
        <w:t>。</w:t>
      </w:r>
    </w:p>
    <w:bookmarkEnd w:id="117"/>
    <w:p w14:paraId="786C2DD2">
      <w:pPr>
        <w:spacing w:before="0" w:after="0"/>
        <w:ind w:firstLine="562"/>
        <w:rPr>
          <w:b/>
          <w:bCs/>
        </w:rPr>
      </w:pPr>
      <w:r>
        <w:rPr>
          <w:rFonts w:hint="eastAsia"/>
          <w:b/>
          <w:bCs/>
        </w:rPr>
        <w:t>一心：</w:t>
      </w:r>
      <w:bookmarkStart w:id="118" w:name="_Hlk119951905"/>
      <w:bookmarkStart w:id="119" w:name="_Hlk140744272"/>
      <w:r>
        <w:rPr>
          <w:rFonts w:hint="eastAsia"/>
          <w:b/>
          <w:bCs/>
        </w:rPr>
        <w:t>鄱阳湖</w:t>
      </w:r>
      <w:bookmarkEnd w:id="118"/>
      <w:r>
        <w:rPr>
          <w:rFonts w:hint="eastAsia"/>
          <w:b/>
          <w:bCs/>
        </w:rPr>
        <w:t>生态保护修复核心</w:t>
      </w:r>
      <w:bookmarkEnd w:id="119"/>
    </w:p>
    <w:p w14:paraId="429CC04A">
      <w:pPr>
        <w:spacing w:before="0" w:after="0"/>
        <w:ind w:firstLine="560"/>
      </w:pPr>
      <w:r>
        <w:rPr>
          <w:rFonts w:hint="eastAsia"/>
        </w:rPr>
        <w:t>加强鄱阳湖生态核心的保护，构建鄱阳湖自然保护地生态网络体系，</w:t>
      </w:r>
      <w:r>
        <w:t>健全生态保护补偿机制</w:t>
      </w:r>
      <w:r>
        <w:rPr>
          <w:rFonts w:hint="eastAsia"/>
        </w:rPr>
        <w:t>，</w:t>
      </w:r>
      <w:r>
        <w:t>持续开展水生态监测工作，系统掌握鄱阳湖水文水质、生物资源及其栖息地状况</w:t>
      </w:r>
      <w:r>
        <w:rPr>
          <w:rFonts w:hint="eastAsia"/>
        </w:rPr>
        <w:t>，保护水域生态安全，进一步改善珍稀动植物栖息地环境，稳步提升湖区候鸟栖息地生境。开展鄱阳湖流域河湖湿地恢复与综合治理，</w:t>
      </w:r>
      <w:r>
        <w:t>实施水生态工程</w:t>
      </w:r>
      <w:r>
        <w:rPr>
          <w:rFonts w:hint="eastAsia"/>
        </w:rPr>
        <w:t>，加强</w:t>
      </w:r>
      <w:r>
        <w:t>水系连通性，</w:t>
      </w:r>
      <w:r>
        <w:rPr>
          <w:rFonts w:hint="eastAsia"/>
        </w:rPr>
        <w:t>促进</w:t>
      </w:r>
      <w:r>
        <w:t>水质改善明显</w:t>
      </w:r>
      <w:r>
        <w:rPr>
          <w:rFonts w:hint="eastAsia"/>
        </w:rPr>
        <w:t>，确保湿地总量和质量的稳定。</w:t>
      </w:r>
    </w:p>
    <w:p w14:paraId="2B1ACF52">
      <w:pPr>
        <w:spacing w:before="0" w:after="0"/>
        <w:ind w:firstLine="562"/>
        <w:rPr>
          <w:b/>
          <w:bCs/>
        </w:rPr>
      </w:pPr>
      <w:r>
        <w:rPr>
          <w:rFonts w:hint="eastAsia"/>
          <w:b/>
          <w:bCs/>
        </w:rPr>
        <w:t>两脉：</w:t>
      </w:r>
      <w:bookmarkStart w:id="120" w:name="_Hlk140744288"/>
      <w:r>
        <w:rPr>
          <w:rFonts w:hint="eastAsia"/>
          <w:b/>
          <w:bCs/>
        </w:rPr>
        <w:t>赣江、抚河两条主干水系及衍生出的两片流域水网</w:t>
      </w:r>
      <w:bookmarkEnd w:id="120"/>
    </w:p>
    <w:p w14:paraId="0743D5FC">
      <w:pPr>
        <w:spacing w:before="0" w:after="0"/>
        <w:ind w:firstLine="560"/>
      </w:pPr>
      <w:r>
        <w:rPr>
          <w:rFonts w:hint="eastAsia"/>
        </w:rPr>
        <w:t>充分发挥南昌县的江河湖塘水系资源禀赋优势，基于河流进行生态修复，形成生态水网，提升水生生物保护、缓冲净化水环境等功能，作为连接城市、各类生态空间的线性空间。以赣江、抚河干流两条主要水系为脉络，</w:t>
      </w:r>
      <w:r>
        <w:t>融合河流湖泊、坑塘水面、农田等生态要素，</w:t>
      </w:r>
      <w:r>
        <w:rPr>
          <w:rFonts w:hint="eastAsia"/>
        </w:rPr>
        <w:t>形成内外交织、联系城市组团的流域水网，重点提升中心城区水系循环、水质保持、景观服务等功能，</w:t>
      </w:r>
      <w:r>
        <w:t>保障</w:t>
      </w:r>
      <w:r>
        <w:rPr>
          <w:rFonts w:hint="eastAsia"/>
        </w:rPr>
        <w:t>水系</w:t>
      </w:r>
      <w:r>
        <w:t>连通性</w:t>
      </w:r>
      <w:r>
        <w:rPr>
          <w:rFonts w:hint="eastAsia"/>
        </w:rPr>
        <w:t>、</w:t>
      </w:r>
      <w:r>
        <w:t>对</w:t>
      </w:r>
      <w:r>
        <w:rPr>
          <w:rFonts w:hint="eastAsia"/>
        </w:rPr>
        <w:t>重点</w:t>
      </w:r>
      <w:r>
        <w:t>区域</w:t>
      </w:r>
      <w:r>
        <w:rPr>
          <w:rFonts w:hint="eastAsia"/>
        </w:rPr>
        <w:t>河段</w:t>
      </w:r>
      <w:r>
        <w:t>进行</w:t>
      </w:r>
      <w:r>
        <w:rPr>
          <w:rFonts w:hint="eastAsia"/>
        </w:rPr>
        <w:t>改善</w:t>
      </w:r>
      <w:r>
        <w:t>、修复</w:t>
      </w:r>
      <w:r>
        <w:rPr>
          <w:rFonts w:hint="eastAsia"/>
        </w:rPr>
        <w:t>和联通。</w:t>
      </w:r>
    </w:p>
    <w:p w14:paraId="44964708">
      <w:pPr>
        <w:spacing w:before="0" w:after="0"/>
        <w:ind w:firstLine="562"/>
        <w:rPr>
          <w:b/>
          <w:bCs/>
        </w:rPr>
      </w:pPr>
      <w:r>
        <w:rPr>
          <w:rFonts w:hint="eastAsia"/>
          <w:b/>
          <w:bCs/>
        </w:rPr>
        <w:t>四区：四大</w:t>
      </w:r>
      <w:r>
        <w:rPr>
          <w:b/>
          <w:bCs/>
        </w:rPr>
        <w:t>国土空间</w:t>
      </w:r>
      <w:r>
        <w:rPr>
          <w:rFonts w:hint="eastAsia"/>
          <w:b/>
          <w:bCs/>
        </w:rPr>
        <w:t>生态</w:t>
      </w:r>
      <w:r>
        <w:rPr>
          <w:b/>
          <w:bCs/>
        </w:rPr>
        <w:t>修复</w:t>
      </w:r>
      <w:r>
        <w:rPr>
          <w:rFonts w:hint="eastAsia"/>
          <w:b/>
          <w:bCs/>
        </w:rPr>
        <w:t>分区</w:t>
      </w:r>
    </w:p>
    <w:p w14:paraId="65952BE1">
      <w:pPr>
        <w:spacing w:before="0" w:after="0"/>
        <w:ind w:firstLine="560"/>
      </w:pPr>
      <w:r>
        <w:rPr>
          <w:rFonts w:hint="eastAsia"/>
        </w:rPr>
        <w:t>即</w:t>
      </w:r>
      <w:bookmarkStart w:id="121" w:name="_Hlk140744311"/>
      <w:r>
        <w:rPr>
          <w:rFonts w:hint="eastAsia"/>
        </w:rPr>
        <w:t>赣江下游及鄱阳湖候鸟保护与湿地修复区、赣抚平原农田生态修复与人居环境整治区、中心城区生态品质提升区、白虎岭森林质量提升与水土保持区四大分区</w:t>
      </w:r>
      <w:bookmarkEnd w:id="121"/>
      <w:r>
        <w:rPr>
          <w:rFonts w:hint="eastAsia"/>
        </w:rPr>
        <w:t>。</w:t>
      </w:r>
      <w:r>
        <w:rPr>
          <w:rFonts w:hint="eastAsia" w:ascii="Helvetica Neue" w:hAnsi="Helvetica Neue"/>
          <w:spacing w:val="24"/>
        </w:rPr>
        <w:t>根据各区域</w:t>
      </w:r>
      <w:r>
        <w:rPr>
          <w:rFonts w:ascii="Helvetica Neue" w:hAnsi="Helvetica Neue"/>
          <w:spacing w:val="24"/>
        </w:rPr>
        <w:t>生态环境格局</w:t>
      </w:r>
      <w:r>
        <w:rPr>
          <w:rFonts w:hint="eastAsia" w:ascii="Helvetica Neue" w:hAnsi="Helvetica Neue"/>
          <w:spacing w:val="24"/>
        </w:rPr>
        <w:t>，</w:t>
      </w:r>
      <w:r>
        <w:rPr>
          <w:rFonts w:hint="eastAsia"/>
        </w:rPr>
        <w:t>统筹各生态修复分区内山水林田湖草沙等各类生态要素的整体保护、系统修复和综合治理。</w:t>
      </w:r>
    </w:p>
    <w:p w14:paraId="6D84E2BC">
      <w:pPr>
        <w:spacing w:before="0" w:after="0"/>
        <w:ind w:firstLine="562"/>
        <w:rPr>
          <w:b/>
          <w:bCs/>
        </w:rPr>
      </w:pPr>
      <w:r>
        <w:rPr>
          <w:rFonts w:hint="eastAsia"/>
          <w:b/>
          <w:bCs/>
        </w:rPr>
        <w:t>多点：</w:t>
      </w:r>
      <w:bookmarkStart w:id="122" w:name="_Hlk140744326"/>
      <w:r>
        <w:rPr>
          <w:rFonts w:hint="eastAsia"/>
          <w:b/>
          <w:bCs/>
        </w:rPr>
        <w:t>白虎岭、澄碧湖以及坑塘水库等生态节点</w:t>
      </w:r>
      <w:bookmarkEnd w:id="122"/>
    </w:p>
    <w:p w14:paraId="163A640F">
      <w:pPr>
        <w:spacing w:before="0" w:after="0"/>
        <w:ind w:firstLine="560"/>
      </w:pPr>
      <w:r>
        <w:rPr>
          <w:rFonts w:hint="eastAsia"/>
        </w:rPr>
        <w:t>识别</w:t>
      </w:r>
      <w:r>
        <w:t>白虎岭森林集中分布区、南昌赣抚平原湿地区、冈上沙化土地生态脆弱区等南昌县重点保护价值区域</w:t>
      </w:r>
      <w:r>
        <w:rPr>
          <w:rFonts w:hint="eastAsia"/>
        </w:rPr>
        <w:t>，推进江西南昌三湖地方级湿地公园、江西南昌澄碧湖地方级湿地公园、江西南昌白虎岭地方级森林公园、</w:t>
      </w:r>
      <w:r>
        <w:t>江西南昌兴农沙漠生态</w:t>
      </w:r>
      <w:r>
        <w:rPr>
          <w:rFonts w:hint="eastAsia"/>
        </w:rPr>
        <w:t>地方级</w:t>
      </w:r>
      <w:r>
        <w:t>森林公园</w:t>
      </w:r>
      <w:r>
        <w:rPr>
          <w:rFonts w:hint="eastAsia"/>
        </w:rPr>
        <w:t>、芳溪湖、大沙湖、赣抚河流湿地等重要生态源地的统筹保护。合理保护利用诸多湖泊、水库和坑塘。原则上保障功能不衰减，面积不减少，水质分区达标、符合相应水质控制目标，保障水面率。对集中片区内坑塘、零散大面积坑塘、重要河流型坑塘，以保护为主，适度开展小微湿地修复工作。</w:t>
      </w:r>
    </w:p>
    <w:p w14:paraId="6FB9D95E">
      <w:pPr>
        <w:spacing w:before="0" w:after="0"/>
        <w:ind w:firstLine="560"/>
      </w:pPr>
    </w:p>
    <w:p w14:paraId="2CF7290E">
      <w:pPr>
        <w:spacing w:before="260" w:after="260" w:line="560" w:lineRule="exact"/>
        <w:ind w:firstLine="0" w:firstLineChars="0"/>
        <w:jc w:val="center"/>
        <w:outlineLvl w:val="1"/>
        <w:rPr>
          <w:rFonts w:ascii="黑体" w:hAnsi="黑体" w:eastAsia="黑体" w:cs="仿宋"/>
          <w:b/>
          <w:bCs/>
          <w:sz w:val="32"/>
          <w:szCs w:val="32"/>
        </w:rPr>
      </w:pPr>
      <w:bookmarkStart w:id="123" w:name="_Toc86257435"/>
      <w:bookmarkStart w:id="124" w:name="_Toc131005118"/>
      <w:r>
        <w:rPr>
          <w:rFonts w:hint="eastAsia" w:ascii="黑体" w:hAnsi="黑体" w:eastAsia="黑体" w:cs="仿宋"/>
          <w:b/>
          <w:bCs/>
          <w:sz w:val="32"/>
          <w:szCs w:val="32"/>
        </w:rPr>
        <w:t>第二节</w:t>
      </w:r>
      <w:r>
        <w:rPr>
          <w:rFonts w:ascii="黑体" w:hAnsi="黑体" w:eastAsia="黑体" w:cs="仿宋"/>
          <w:b/>
          <w:bCs/>
          <w:sz w:val="32"/>
          <w:szCs w:val="32"/>
        </w:rPr>
        <w:t xml:space="preserve"> </w:t>
      </w:r>
      <w:r>
        <w:rPr>
          <w:rFonts w:hint="eastAsia" w:ascii="黑体" w:hAnsi="黑体" w:eastAsia="黑体" w:cs="仿宋"/>
          <w:b/>
          <w:bCs/>
          <w:sz w:val="32"/>
          <w:szCs w:val="32"/>
        </w:rPr>
        <w:t>生态修复</w:t>
      </w:r>
      <w:bookmarkEnd w:id="123"/>
      <w:r>
        <w:rPr>
          <w:rFonts w:hint="eastAsia" w:ascii="黑体" w:hAnsi="黑体" w:eastAsia="黑体" w:cs="仿宋"/>
          <w:b/>
          <w:bCs/>
          <w:sz w:val="32"/>
          <w:szCs w:val="32"/>
        </w:rPr>
        <w:t>分区</w:t>
      </w:r>
      <w:bookmarkEnd w:id="124"/>
    </w:p>
    <w:p w14:paraId="1EDFF66C">
      <w:pPr>
        <w:spacing w:before="0" w:after="0"/>
        <w:ind w:firstLine="560"/>
      </w:pPr>
      <w:r>
        <w:rPr>
          <w:rFonts w:hint="eastAsia"/>
        </w:rPr>
        <w:t>以完整的自然地理单元为基础，综合国土空间规划三区三线、各乡镇主体功能区定位，落实南昌市“三线一单”成果，突出生态系统空间的完整性和生态服务功能的差异性，在落实传导省、市两级生态保护修复分区的基础上，将全县划分为</w:t>
      </w:r>
      <w:r>
        <w:t>4</w:t>
      </w:r>
      <w:r>
        <w:rPr>
          <w:rFonts w:hint="eastAsia"/>
        </w:rPr>
        <w:t>个国土空间生态修复分区。</w:t>
      </w:r>
    </w:p>
    <w:p w14:paraId="5FE5D31C">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125" w:name="_Toc78481185"/>
      <w:bookmarkStart w:id="126" w:name="_Toc86257438"/>
      <w:bookmarkStart w:id="127" w:name="_Toc88162790"/>
      <w:bookmarkStart w:id="128" w:name="_Toc73089259"/>
      <w:bookmarkStart w:id="129" w:name="_Toc76497680"/>
      <w:bookmarkStart w:id="130" w:name="_Toc121081781"/>
      <w:bookmarkStart w:id="131" w:name="_Toc98172962"/>
      <w:bookmarkStart w:id="132" w:name="_Toc127908965"/>
      <w:r>
        <w:rPr>
          <w:rFonts w:hint="eastAsia" w:ascii="黑体" w:hAnsi="黑体" w:eastAsia="黑体" w:cs="黑体"/>
          <w:b w:val="0"/>
          <w:sz w:val="30"/>
          <w:szCs w:val="30"/>
        </w:rPr>
        <w:t>一、</w:t>
      </w:r>
      <w:bookmarkEnd w:id="125"/>
      <w:bookmarkEnd w:id="126"/>
      <w:bookmarkEnd w:id="127"/>
      <w:bookmarkEnd w:id="128"/>
      <w:bookmarkEnd w:id="129"/>
      <w:bookmarkEnd w:id="130"/>
      <w:bookmarkEnd w:id="131"/>
      <w:bookmarkStart w:id="133" w:name="_Hlk127867085"/>
      <w:r>
        <w:rPr>
          <w:rFonts w:hint="eastAsia" w:ascii="黑体" w:hAnsi="黑体" w:eastAsia="黑体" w:cs="黑体"/>
          <w:b w:val="0"/>
          <w:sz w:val="30"/>
          <w:szCs w:val="30"/>
        </w:rPr>
        <w:t>赣江下游及鄱阳湖候鸟保护与湿地修复区</w:t>
      </w:r>
      <w:bookmarkEnd w:id="132"/>
      <w:bookmarkEnd w:id="133"/>
    </w:p>
    <w:p w14:paraId="771F57A4">
      <w:pPr>
        <w:spacing w:before="0" w:after="0"/>
        <w:ind w:firstLine="560"/>
      </w:pPr>
      <w:r>
        <w:rPr>
          <w:rFonts w:hint="eastAsia"/>
        </w:rPr>
        <w:t>本区位于赣江下游，鄱阳湖南岸，是鄱阳湖区与南昌市区之间的生态缓冲区，涉及蒋巷镇、南新乡以及将军洲农场共3个乡镇（农场），总计4</w:t>
      </w:r>
      <w:r>
        <w:t>2</w:t>
      </w:r>
      <w:r>
        <w:rPr>
          <w:rFonts w:hint="eastAsia"/>
        </w:rPr>
        <w:t>个行政村，包含江西南昌三湖地方级湿地公园，</w:t>
      </w:r>
      <w:r>
        <w:t>总面积</w:t>
      </w:r>
      <w:r>
        <w:rPr>
          <w:rFonts w:hint="eastAsia"/>
        </w:rPr>
        <w:t>约</w:t>
      </w:r>
      <w:r>
        <w:t>403.06</w:t>
      </w:r>
      <w:r>
        <w:rPr>
          <w:rFonts w:hint="eastAsia"/>
        </w:rPr>
        <w:t>平方公里，</w:t>
      </w:r>
      <w:r>
        <w:rPr>
          <w:szCs w:val="28"/>
        </w:rPr>
        <w:t>占</w:t>
      </w:r>
      <w:r>
        <w:rPr>
          <w:rFonts w:hint="eastAsia"/>
          <w:szCs w:val="28"/>
        </w:rPr>
        <w:t>县</w:t>
      </w:r>
      <w:r>
        <w:rPr>
          <w:szCs w:val="28"/>
        </w:rPr>
        <w:t>域总面积</w:t>
      </w:r>
      <w:r>
        <w:rPr>
          <w:rFonts w:hint="eastAsia"/>
          <w:szCs w:val="28"/>
        </w:rPr>
        <w:t>的</w:t>
      </w:r>
      <w:r>
        <w:rPr>
          <w:szCs w:val="28"/>
        </w:rPr>
        <w:t>22.26%。</w:t>
      </w:r>
    </w:p>
    <w:p w14:paraId="12E2E2EF">
      <w:pPr>
        <w:spacing w:before="0" w:after="0"/>
        <w:ind w:firstLine="562"/>
      </w:pPr>
      <w:r>
        <w:rPr>
          <w:rFonts w:hint="eastAsia"/>
          <w:b/>
          <w:bCs/>
        </w:rPr>
        <w:t>——</w:t>
      </w:r>
      <w:bookmarkStart w:id="134" w:name="_Hlk127968028"/>
      <w:r>
        <w:rPr>
          <w:rFonts w:hint="eastAsia"/>
          <w:b/>
          <w:bCs/>
        </w:rPr>
        <w:t>生态系统概况</w:t>
      </w:r>
      <w:bookmarkEnd w:id="134"/>
      <w:r>
        <w:rPr>
          <w:rFonts w:hint="eastAsia"/>
          <w:b/>
          <w:bCs/>
        </w:rPr>
        <w:t>：</w:t>
      </w:r>
      <w:bookmarkStart w:id="135" w:name="_Hlk127967622"/>
      <w:r>
        <w:rPr>
          <w:rFonts w:hint="eastAsia"/>
        </w:rPr>
        <w:t>本区处于滨江平原，紧邻鄱阳湖核心生态功能区，生态地位突出。区域地势平坦，</w:t>
      </w:r>
      <w:r>
        <w:t>水系纵横交错</w:t>
      </w:r>
      <w:r>
        <w:rPr>
          <w:rFonts w:hint="eastAsia"/>
        </w:rPr>
        <w:t>，湿地众多，赣江下游南支、中支和北支经本区汇入鄱阳湖，动植物资源丰富，是长江江豚、</w:t>
      </w:r>
      <w:r>
        <w:t>白鹤</w:t>
      </w:r>
      <w:r>
        <w:rPr>
          <w:rFonts w:hint="eastAsia"/>
        </w:rPr>
        <w:t>等</w:t>
      </w:r>
      <w:r>
        <w:t>国家</w:t>
      </w:r>
      <w:r>
        <w:rPr>
          <w:rFonts w:hint="eastAsia"/>
        </w:rPr>
        <w:t>重点</w:t>
      </w:r>
      <w:r>
        <w:t>保护动物</w:t>
      </w:r>
      <w:r>
        <w:rPr>
          <w:rFonts w:hint="eastAsia"/>
        </w:rPr>
        <w:t>的栖息地和繁衍产所，也</w:t>
      </w:r>
      <w:r>
        <w:t>是鄱阳湖候鸟</w:t>
      </w:r>
      <w:r>
        <w:rPr>
          <w:rFonts w:hint="eastAsia"/>
          <w:lang w:eastAsia="zh-CN"/>
        </w:rPr>
        <w:t>迁徙</w:t>
      </w:r>
      <w:r>
        <w:t>的重要通道</w:t>
      </w:r>
      <w:r>
        <w:rPr>
          <w:rFonts w:hint="eastAsia"/>
        </w:rPr>
        <w:t>。该区域生态系统丰富多样，是南昌县最重要的生态源，也是重要的农业产区，具有强大的生态调节功能，对全球珍稀候鸟种群保护具有重要的战略意义，同时在调节水位、涵养水源、改善当地气候和维护地区生态平衡等方面起着巨大的作用，</w:t>
      </w:r>
      <w:r>
        <w:t>承担着重要的生态维护功能</w:t>
      </w:r>
      <w:r>
        <w:rPr>
          <w:rFonts w:hint="eastAsia"/>
        </w:rPr>
        <w:t>。</w:t>
      </w:r>
    </w:p>
    <w:bookmarkEnd w:id="135"/>
    <w:p w14:paraId="28AB9096">
      <w:pPr>
        <w:spacing w:before="0" w:after="0"/>
        <w:ind w:firstLine="562"/>
        <w:rPr>
          <w:b/>
          <w:bCs/>
        </w:rPr>
      </w:pPr>
      <w:r>
        <w:rPr>
          <w:rFonts w:hint="eastAsia"/>
          <w:b/>
          <w:bCs/>
        </w:rPr>
        <w:t>——</w:t>
      </w:r>
      <w:bookmarkStart w:id="136" w:name="_Hlk127968070"/>
      <w:r>
        <w:rPr>
          <w:rFonts w:hint="eastAsia"/>
          <w:b/>
          <w:bCs/>
        </w:rPr>
        <w:t>主要生态问题</w:t>
      </w:r>
      <w:bookmarkEnd w:id="136"/>
      <w:r>
        <w:rPr>
          <w:rFonts w:hint="eastAsia"/>
          <w:b/>
          <w:bCs/>
        </w:rPr>
        <w:t>：</w:t>
      </w:r>
      <w:bookmarkStart w:id="137" w:name="_Hlk127968078"/>
      <w:r>
        <w:rPr>
          <w:rFonts w:hint="eastAsia"/>
        </w:rPr>
        <w:t>受</w:t>
      </w:r>
      <w:r>
        <w:t>江湖关系变化</w:t>
      </w:r>
      <w:r>
        <w:rPr>
          <w:rFonts w:hint="eastAsia"/>
        </w:rPr>
        <w:t>及全球气候因素影响，鄱阳湖秋冬季枯水频现并呈常态化，导致</w:t>
      </w:r>
      <w:r>
        <w:t>湿地生态</w:t>
      </w:r>
      <w:r>
        <w:rPr>
          <w:rFonts w:hint="eastAsia"/>
        </w:rPr>
        <w:t>系统</w:t>
      </w:r>
      <w:r>
        <w:t>退化</w:t>
      </w:r>
      <w:r>
        <w:rPr>
          <w:rFonts w:hint="eastAsia"/>
        </w:rPr>
        <w:t>，恢复力较弱。由于沿湖乡镇的快速发展，湖区周边</w:t>
      </w:r>
      <w:r>
        <w:t>农业</w:t>
      </w:r>
      <w:r>
        <w:rPr>
          <w:rFonts w:hint="eastAsia"/>
        </w:rPr>
        <w:t>活动增多，污染源扩增，水系联通性变差，致使湖区水文条件恶化，</w:t>
      </w:r>
      <w:r>
        <w:t>湿地环境</w:t>
      </w:r>
      <w:r>
        <w:rPr>
          <w:rFonts w:hint="eastAsia"/>
        </w:rPr>
        <w:t>质量下降。同时生产建设活动不断挤占</w:t>
      </w:r>
      <w:r>
        <w:t>湿地</w:t>
      </w:r>
      <w:r>
        <w:rPr>
          <w:rFonts w:hint="eastAsia"/>
        </w:rPr>
        <w:t>空间，造成</w:t>
      </w:r>
      <w:r>
        <w:t>湿地面积</w:t>
      </w:r>
      <w:r>
        <w:rPr>
          <w:rFonts w:hint="eastAsia"/>
        </w:rPr>
        <w:t>萎缩，重要物种栖息地退化，生物多样性下降。</w:t>
      </w:r>
    </w:p>
    <w:bookmarkEnd w:id="137"/>
    <w:p w14:paraId="513A633E">
      <w:pPr>
        <w:spacing w:before="0" w:after="0"/>
        <w:ind w:firstLine="562"/>
      </w:pPr>
      <w:r>
        <w:rPr>
          <w:rFonts w:hint="eastAsia"/>
          <w:b/>
          <w:bCs/>
        </w:rPr>
        <w:t>——修复方向：</w:t>
      </w:r>
      <w:bookmarkStart w:id="138" w:name="_Hlk127968101"/>
      <w:r>
        <w:rPr>
          <w:rFonts w:hint="eastAsia"/>
        </w:rPr>
        <w:t>本区</w:t>
      </w:r>
      <w:r>
        <w:t>以湿地生态保护</w:t>
      </w:r>
      <w:r>
        <w:rPr>
          <w:rFonts w:hint="eastAsia"/>
        </w:rPr>
        <w:t>和候鸟</w:t>
      </w:r>
      <w:r>
        <w:t>保护为重点，采取工程治理与自然修复相结合的方式，</w:t>
      </w:r>
      <w:r>
        <w:rPr>
          <w:rFonts w:hint="eastAsia"/>
        </w:rPr>
        <w:t>保护恢复自然生态空间的服务功能和完整性。开展水环境综合整治，加强农田生态环境治理，全面推进生活污水治理和农业面源污染防治，提升湿地和水环境质量。控制湖滨地带开发强度，构建生态缓冲带，处理好</w:t>
      </w:r>
      <w:r>
        <w:t>农业生产与湿地保护间的矛盾</w:t>
      </w:r>
      <w:r>
        <w:rPr>
          <w:rFonts w:hint="eastAsia"/>
        </w:rPr>
        <w:t>，保护自然湿地及草洲。推进水系联通工程，增加湿地水量，保障湖区生态水位。开展鄱阳湖水质监测和生物多样性保护监测，</w:t>
      </w:r>
      <w:r>
        <w:t>完善国家、省、县三级自然保护区体系，形成生物多样性保护网</w:t>
      </w:r>
      <w:r>
        <w:rPr>
          <w:rFonts w:hint="eastAsia"/>
        </w:rPr>
        <w:t>，维护区域生物多样性</w:t>
      </w:r>
      <w:r>
        <w:t>。</w:t>
      </w:r>
    </w:p>
    <w:bookmarkEnd w:id="138"/>
    <w:p w14:paraId="1C1B263C">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139" w:name="_Toc98172963"/>
      <w:bookmarkStart w:id="140" w:name="_Toc78481184"/>
      <w:bookmarkStart w:id="141" w:name="_Toc76497679"/>
      <w:bookmarkStart w:id="142" w:name="_Toc86257437"/>
      <w:bookmarkStart w:id="143" w:name="_Toc121081782"/>
      <w:bookmarkStart w:id="144" w:name="_Toc88162791"/>
      <w:bookmarkStart w:id="145" w:name="_Toc73089258"/>
      <w:bookmarkStart w:id="146" w:name="_Toc127908966"/>
      <w:r>
        <w:rPr>
          <w:rFonts w:hint="eastAsia" w:ascii="黑体" w:hAnsi="黑体" w:eastAsia="黑体" w:cs="黑体"/>
          <w:b w:val="0"/>
          <w:sz w:val="30"/>
          <w:szCs w:val="30"/>
        </w:rPr>
        <w:t>二、</w:t>
      </w:r>
      <w:bookmarkEnd w:id="139"/>
      <w:bookmarkEnd w:id="140"/>
      <w:bookmarkEnd w:id="141"/>
      <w:bookmarkEnd w:id="142"/>
      <w:bookmarkEnd w:id="143"/>
      <w:bookmarkEnd w:id="144"/>
      <w:bookmarkEnd w:id="145"/>
      <w:bookmarkStart w:id="147" w:name="_Hlk127867117"/>
      <w:bookmarkStart w:id="148" w:name="_Hlk127968199"/>
      <w:r>
        <w:rPr>
          <w:rFonts w:hint="eastAsia" w:ascii="黑体" w:hAnsi="黑体" w:eastAsia="黑体" w:cs="黑体"/>
          <w:b w:val="0"/>
          <w:sz w:val="30"/>
          <w:szCs w:val="30"/>
        </w:rPr>
        <w:t>赣抚平原农田生态修复与人居环境整治区</w:t>
      </w:r>
      <w:bookmarkEnd w:id="146"/>
      <w:bookmarkEnd w:id="147"/>
    </w:p>
    <w:bookmarkEnd w:id="148"/>
    <w:p w14:paraId="19C54AA1">
      <w:pPr>
        <w:spacing w:before="0" w:after="0"/>
        <w:ind w:firstLine="560"/>
      </w:pPr>
      <w:bookmarkStart w:id="149" w:name="_Hlk127968244"/>
      <w:r>
        <w:rPr>
          <w:rFonts w:hint="eastAsia"/>
        </w:rPr>
        <w:t>本区位于抚河下游，军山湖-青岚湖西岸，涉及向塘镇、武阳镇、八一乡、幽兰镇、塘南镇、塔城乡、泾口乡等</w:t>
      </w:r>
      <w:r>
        <w:t>11</w:t>
      </w:r>
      <w:r>
        <w:rPr>
          <w:rFonts w:hint="eastAsia"/>
        </w:rPr>
        <w:t>个乡镇（管委会）</w:t>
      </w:r>
      <w:r>
        <w:t>，</w:t>
      </w:r>
      <w:r>
        <w:rPr>
          <w:rFonts w:hint="eastAsia"/>
        </w:rPr>
        <w:t>共</w:t>
      </w:r>
      <w:r>
        <w:t>150个</w:t>
      </w:r>
      <w:r>
        <w:rPr>
          <w:rFonts w:hint="eastAsia"/>
        </w:rPr>
        <w:t>行政村，</w:t>
      </w:r>
      <w:r>
        <w:t>是</w:t>
      </w:r>
      <w:r>
        <w:rPr>
          <w:rFonts w:hint="eastAsia"/>
        </w:rPr>
        <w:t>全县</w:t>
      </w:r>
      <w:r>
        <w:t>重要</w:t>
      </w:r>
      <w:r>
        <w:rPr>
          <w:rFonts w:hint="eastAsia"/>
        </w:rPr>
        <w:t>的粮食</w:t>
      </w:r>
      <w:r>
        <w:t>主产区</w:t>
      </w:r>
      <w:r>
        <w:rPr>
          <w:rFonts w:hint="eastAsia"/>
        </w:rPr>
        <w:t>，</w:t>
      </w:r>
      <w:r>
        <w:t>总面积</w:t>
      </w:r>
      <w:r>
        <w:rPr>
          <w:rFonts w:hint="eastAsia"/>
        </w:rPr>
        <w:t>约</w:t>
      </w:r>
      <w:r>
        <w:t>794.84</w:t>
      </w:r>
      <w:r>
        <w:rPr>
          <w:rFonts w:hint="eastAsia"/>
        </w:rPr>
        <w:t>平方公里，</w:t>
      </w:r>
      <w:r>
        <w:rPr>
          <w:szCs w:val="28"/>
        </w:rPr>
        <w:t>占</w:t>
      </w:r>
      <w:r>
        <w:rPr>
          <w:rFonts w:hint="eastAsia"/>
          <w:szCs w:val="28"/>
        </w:rPr>
        <w:t>县</w:t>
      </w:r>
      <w:r>
        <w:rPr>
          <w:szCs w:val="28"/>
        </w:rPr>
        <w:t>域总面积</w:t>
      </w:r>
      <w:r>
        <w:rPr>
          <w:rFonts w:hint="eastAsia"/>
          <w:szCs w:val="28"/>
        </w:rPr>
        <w:t>的</w:t>
      </w:r>
      <w:r>
        <w:rPr>
          <w:szCs w:val="28"/>
        </w:rPr>
        <w:t>43.88%。</w:t>
      </w:r>
    </w:p>
    <w:bookmarkEnd w:id="149"/>
    <w:p w14:paraId="657A19B3">
      <w:pPr>
        <w:spacing w:before="0" w:after="0"/>
        <w:ind w:firstLine="562"/>
      </w:pPr>
      <w:r>
        <w:rPr>
          <w:rFonts w:hint="eastAsia"/>
          <w:b/>
          <w:bCs/>
        </w:rPr>
        <w:t>——</w:t>
      </w:r>
      <w:bookmarkStart w:id="150" w:name="_Hlk127968283"/>
      <w:r>
        <w:rPr>
          <w:rFonts w:hint="eastAsia"/>
          <w:b/>
          <w:bCs/>
        </w:rPr>
        <w:t>生态系统概况：</w:t>
      </w:r>
      <w:bookmarkEnd w:id="150"/>
      <w:r>
        <w:rPr>
          <w:rFonts w:hint="eastAsia"/>
        </w:rPr>
        <w:t>本区属于赣抚冲积平原，</w:t>
      </w:r>
      <w:r>
        <w:t>地</w:t>
      </w:r>
      <w:r>
        <w:rPr>
          <w:rFonts w:hint="eastAsia"/>
        </w:rPr>
        <w:t>形</w:t>
      </w:r>
      <w:r>
        <w:t>平坦，地势</w:t>
      </w:r>
      <w:r>
        <w:rPr>
          <w:rFonts w:hint="eastAsia"/>
        </w:rPr>
        <w:t>开阔，</w:t>
      </w:r>
      <w:r>
        <w:t>水系复杂，河网纵横交错</w:t>
      </w:r>
      <w:r>
        <w:rPr>
          <w:rFonts w:hint="eastAsia"/>
        </w:rPr>
        <w:t>，湖泊、池塘星罗棋布</w:t>
      </w:r>
      <w:r>
        <w:t>，土地肥沃</w:t>
      </w:r>
      <w:r>
        <w:rPr>
          <w:rFonts w:hint="eastAsia"/>
        </w:rPr>
        <w:t>，拥有粮食、蔬菜、生猪、水禽和水产五大主导产业，是重要的商品粮基地。该区域位于青岚湖和金溪湖西侧，有芳溪湖、大沙湖等</w:t>
      </w:r>
      <w:r>
        <w:t>较大</w:t>
      </w:r>
      <w:r>
        <w:rPr>
          <w:rFonts w:hint="eastAsia"/>
        </w:rPr>
        <w:t>湖泊，抚河干流向北经塔城入青岚湖，</w:t>
      </w:r>
      <w:r>
        <w:t>清丰山溪</w:t>
      </w:r>
      <w:r>
        <w:rPr>
          <w:rFonts w:hint="eastAsia"/>
        </w:rPr>
        <w:t>贯穿而过，水资源丰富，是南昌县重要水源地，也是不少候鸟觅食栖息的重要区域，生态价值突出。</w:t>
      </w:r>
    </w:p>
    <w:p w14:paraId="37574A99">
      <w:pPr>
        <w:spacing w:before="0" w:after="0"/>
        <w:ind w:firstLine="562"/>
      </w:pPr>
      <w:r>
        <w:rPr>
          <w:rFonts w:hint="eastAsia"/>
          <w:b/>
          <w:bCs/>
        </w:rPr>
        <w:t>——主要生态问题：</w:t>
      </w:r>
      <w:r>
        <w:rPr>
          <w:rFonts w:hint="eastAsia"/>
        </w:rPr>
        <w:t>赣抚平原是南昌县主要的农业地区，农业开发强度较大，农村人口较多，人、地、生态矛盾比较突出。由于过量使用化肥农药、</w:t>
      </w:r>
      <w:r>
        <w:t>随意填埋沟渠坑塘</w:t>
      </w:r>
      <w:r>
        <w:rPr>
          <w:rFonts w:hint="eastAsia"/>
        </w:rPr>
        <w:t>、</w:t>
      </w:r>
      <w:r>
        <w:t>过度硬化沟渠道路</w:t>
      </w:r>
      <w:r>
        <w:rPr>
          <w:rFonts w:hint="eastAsia"/>
        </w:rPr>
        <w:t>等不合理</w:t>
      </w:r>
      <w:r>
        <w:rPr>
          <w:rFonts w:hint="eastAsia"/>
          <w:lang w:eastAsia="zh-CN"/>
        </w:rPr>
        <w:t>的</w:t>
      </w:r>
      <w:r>
        <w:rPr>
          <w:rFonts w:hint="eastAsia"/>
        </w:rPr>
        <w:t>农业耕作方式，导致农业面源污染较为严重，土壤可耕性变差，造成</w:t>
      </w:r>
      <w:r>
        <w:t>农田生态</w:t>
      </w:r>
      <w:r>
        <w:rPr>
          <w:rFonts w:hint="eastAsia"/>
        </w:rPr>
        <w:t>系统退化</w:t>
      </w:r>
      <w:r>
        <w:t>。</w:t>
      </w:r>
      <w:r>
        <w:rPr>
          <w:rFonts w:hint="eastAsia"/>
        </w:rPr>
        <w:t>同时，农村人居环境质量整体不高，相关设施尚不完善，生活垃圾和生活污水乱排乱放现象较为突出，影响农村水生态质量。</w:t>
      </w:r>
    </w:p>
    <w:p w14:paraId="12662241">
      <w:pPr>
        <w:spacing w:before="0" w:after="0"/>
        <w:ind w:firstLine="562"/>
      </w:pPr>
      <w:r>
        <w:rPr>
          <w:rFonts w:hint="eastAsia"/>
          <w:b/>
          <w:bCs/>
        </w:rPr>
        <w:t>——修复方向：</w:t>
      </w:r>
      <w:r>
        <w:t>本</w:t>
      </w:r>
      <w:r>
        <w:rPr>
          <w:rFonts w:hint="eastAsia"/>
        </w:rPr>
        <w:t>区以提升农田生态功能、改善农村水生态环境和提升人居环境品质为导向，重点推进全域土地综合整治、水污染防治、农业面源污染治理和人居环境提升等工程。通过</w:t>
      </w:r>
      <w:r>
        <w:t>完善村庄</w:t>
      </w:r>
      <w:r>
        <w:rPr>
          <w:rFonts w:hint="eastAsia"/>
        </w:rPr>
        <w:t>生态</w:t>
      </w:r>
      <w:r>
        <w:t>基础设施，优化人居环境</w:t>
      </w:r>
      <w:r>
        <w:rPr>
          <w:rFonts w:hint="eastAsia"/>
        </w:rPr>
        <w:t>，</w:t>
      </w:r>
      <w:r>
        <w:t>深入推进</w:t>
      </w:r>
      <w:r>
        <w:rPr>
          <w:rFonts w:hint="eastAsia"/>
        </w:rPr>
        <w:t>农村</w:t>
      </w:r>
      <w:r>
        <w:t>环境整治</w:t>
      </w:r>
      <w:r>
        <w:rPr>
          <w:rFonts w:hint="eastAsia"/>
        </w:rPr>
        <w:t>，促进</w:t>
      </w:r>
      <w:r>
        <w:t>村庄整体生态优化</w:t>
      </w:r>
      <w:r>
        <w:rPr>
          <w:rFonts w:hint="eastAsia"/>
        </w:rPr>
        <w:t>。</w:t>
      </w:r>
      <w:r>
        <w:t>强化农田面源污染防控，推行生态林网、生态路网和生态水网建设，构建生态沟渠</w:t>
      </w:r>
      <w:r>
        <w:rPr>
          <w:rFonts w:hint="eastAsia"/>
        </w:rPr>
        <w:t>，</w:t>
      </w:r>
      <w:r>
        <w:t>充分发挥生态沟塘对农业污染物的净化能力</w:t>
      </w:r>
      <w:r>
        <w:rPr>
          <w:rFonts w:hint="eastAsia"/>
        </w:rPr>
        <w:t>，</w:t>
      </w:r>
      <w:r>
        <w:t>打造集耕地质量保护提升、面源污染防治和田园生态景观改善为一体的高标准绿色生态农田</w:t>
      </w:r>
      <w:r>
        <w:rPr>
          <w:rFonts w:hint="eastAsia"/>
        </w:rPr>
        <w:t>，提升农田生态服务能力。</w:t>
      </w:r>
    </w:p>
    <w:p w14:paraId="07066597">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151" w:name="_Toc98172964"/>
      <w:bookmarkStart w:id="152" w:name="_Toc78481186"/>
      <w:bookmarkStart w:id="153" w:name="_Toc73089260"/>
      <w:bookmarkStart w:id="154" w:name="_Toc121081783"/>
      <w:bookmarkStart w:id="155" w:name="_Toc86257439"/>
      <w:bookmarkStart w:id="156" w:name="_Toc88162792"/>
      <w:bookmarkStart w:id="157" w:name="_Toc76497681"/>
      <w:bookmarkStart w:id="158" w:name="_Toc127908967"/>
      <w:r>
        <w:rPr>
          <w:rFonts w:hint="eastAsia" w:ascii="黑体" w:hAnsi="黑体" w:eastAsia="黑体" w:cs="黑体"/>
          <w:b w:val="0"/>
          <w:sz w:val="30"/>
          <w:szCs w:val="30"/>
        </w:rPr>
        <w:t>三、</w:t>
      </w:r>
      <w:bookmarkEnd w:id="151"/>
      <w:bookmarkEnd w:id="152"/>
      <w:bookmarkEnd w:id="153"/>
      <w:bookmarkEnd w:id="154"/>
      <w:bookmarkEnd w:id="155"/>
      <w:bookmarkEnd w:id="156"/>
      <w:bookmarkEnd w:id="157"/>
      <w:bookmarkStart w:id="159" w:name="_Hlk127867135"/>
      <w:r>
        <w:rPr>
          <w:rFonts w:hint="eastAsia" w:ascii="黑体" w:hAnsi="黑体" w:eastAsia="黑体" w:cs="黑体"/>
          <w:b w:val="0"/>
          <w:sz w:val="30"/>
          <w:szCs w:val="30"/>
        </w:rPr>
        <w:t>中心城区生态品质提升区</w:t>
      </w:r>
      <w:bookmarkEnd w:id="158"/>
      <w:bookmarkEnd w:id="159"/>
    </w:p>
    <w:p w14:paraId="68330C5F">
      <w:pPr>
        <w:ind w:firstLine="560"/>
        <w:rPr>
          <w:szCs w:val="28"/>
        </w:rPr>
      </w:pPr>
      <w:r>
        <w:rPr>
          <w:rFonts w:hint="eastAsia"/>
        </w:rPr>
        <w:t>本区位于赣江主支东部，主要包含南昌县中心城区及其周边地区，涉及莲塘镇、向塘镇、东新乡、富山乡、小蓝经济开发区、银三角等</w:t>
      </w:r>
      <w:r>
        <w:t>9</w:t>
      </w:r>
      <w:r>
        <w:rPr>
          <w:rFonts w:hint="eastAsia"/>
        </w:rPr>
        <w:t>个乡镇（管委会、开发区），共</w:t>
      </w:r>
      <w:r>
        <w:t>80个</w:t>
      </w:r>
      <w:r>
        <w:rPr>
          <w:rFonts w:hint="eastAsia"/>
        </w:rPr>
        <w:t>行政村</w:t>
      </w:r>
      <w:r>
        <w:t>，</w:t>
      </w:r>
      <w:r>
        <w:rPr>
          <w:rFonts w:hint="eastAsia"/>
        </w:rPr>
        <w:t>包含澄碧湖地方级湿地公园，</w:t>
      </w:r>
      <w:r>
        <w:t>总面积</w:t>
      </w:r>
      <w:r>
        <w:rPr>
          <w:rFonts w:hint="eastAsia"/>
        </w:rPr>
        <w:t>约</w:t>
      </w:r>
      <w:r>
        <w:t>355.42</w:t>
      </w:r>
      <w:r>
        <w:rPr>
          <w:rFonts w:hint="eastAsia"/>
        </w:rPr>
        <w:t>平方公里，</w:t>
      </w:r>
      <w:r>
        <w:rPr>
          <w:szCs w:val="28"/>
        </w:rPr>
        <w:t>占</w:t>
      </w:r>
      <w:r>
        <w:rPr>
          <w:rFonts w:hint="eastAsia"/>
          <w:szCs w:val="28"/>
        </w:rPr>
        <w:t>县</w:t>
      </w:r>
      <w:r>
        <w:rPr>
          <w:szCs w:val="28"/>
        </w:rPr>
        <w:t>域总面积19.63%。</w:t>
      </w:r>
    </w:p>
    <w:p w14:paraId="4F9D3019">
      <w:pPr>
        <w:ind w:firstLine="562"/>
      </w:pPr>
      <w:r>
        <w:rPr>
          <w:rFonts w:hint="eastAsia"/>
          <w:b/>
          <w:bCs/>
        </w:rPr>
        <w:t>——生态系统概况：</w:t>
      </w:r>
      <w:r>
        <w:rPr>
          <w:rFonts w:hint="eastAsia"/>
        </w:rPr>
        <w:t>本区是南昌县政治、经济和文化中心，人口密度大，开发强度高。该区域属</w:t>
      </w:r>
      <w:r>
        <w:t>赣抚冲积平原</w:t>
      </w:r>
      <w:r>
        <w:rPr>
          <w:rFonts w:hint="eastAsia"/>
        </w:rPr>
        <w:t>，地形平坦，</w:t>
      </w:r>
      <w:r>
        <w:t>河网水系发达</w:t>
      </w:r>
      <w:r>
        <w:rPr>
          <w:rFonts w:hint="eastAsia"/>
        </w:rPr>
        <w:t>，</w:t>
      </w:r>
      <w:r>
        <w:t>西侧为绵延而过的赣江，抚河故道从昌南新城腹地南北向贯穿整个城区</w:t>
      </w:r>
      <w:r>
        <w:rPr>
          <w:rFonts w:hint="eastAsia"/>
        </w:rPr>
        <w:t>，形成</w:t>
      </w:r>
      <w:r>
        <w:rPr>
          <w:rFonts w:hint="eastAsia" w:hAnsi="宋体"/>
          <w:szCs w:val="21"/>
        </w:rPr>
        <w:t>雄溪河、莲塘河、连溪河等水系，作为城区主要纳污水体，兼作景观生态廊道。</w:t>
      </w:r>
      <w:r>
        <w:rPr>
          <w:rFonts w:hint="eastAsia"/>
        </w:rPr>
        <w:t>区域内</w:t>
      </w:r>
      <w:r>
        <w:t>自然湖泊、坑塘、沟渠等具有高生态价值的水面广泛分布</w:t>
      </w:r>
      <w:r>
        <w:rPr>
          <w:rFonts w:hint="eastAsia"/>
        </w:rPr>
        <w:t>，已建成澄碧湖、金湖等</w:t>
      </w:r>
      <w:r>
        <w:t>城</w:t>
      </w:r>
      <w:r>
        <w:rPr>
          <w:rFonts w:hint="eastAsia"/>
        </w:rPr>
        <w:t>市公园，</w:t>
      </w:r>
      <w:r>
        <w:t>抚河故道湿地、雄溪河湿地</w:t>
      </w:r>
      <w:r>
        <w:rPr>
          <w:rFonts w:hint="eastAsia"/>
        </w:rPr>
        <w:t>等</w:t>
      </w:r>
      <w:r>
        <w:t>湿地资源</w:t>
      </w:r>
      <w:r>
        <w:rPr>
          <w:rFonts w:hint="eastAsia"/>
        </w:rPr>
        <w:t>暂未开发，</w:t>
      </w:r>
      <w:r>
        <w:t>具有良好的生态基础和亲民的休闲游憩功能，生态价值</w:t>
      </w:r>
      <w:r>
        <w:rPr>
          <w:rFonts w:hint="eastAsia"/>
        </w:rPr>
        <w:t>较高。</w:t>
      </w:r>
    </w:p>
    <w:p w14:paraId="5CE403CA">
      <w:pPr>
        <w:spacing w:before="0" w:after="0"/>
        <w:ind w:firstLine="562"/>
      </w:pPr>
      <w:r>
        <w:rPr>
          <w:rFonts w:hint="eastAsia"/>
          <w:b/>
          <w:bCs/>
        </w:rPr>
        <w:t>——主要生态问题：</w:t>
      </w:r>
      <w:r>
        <w:rPr>
          <w:rFonts w:hint="eastAsia"/>
        </w:rPr>
        <w:t>该分区人口众多，</w:t>
      </w:r>
      <w:r>
        <w:t>城镇建设密集，</w:t>
      </w:r>
      <w:r>
        <w:rPr>
          <w:rFonts w:hint="eastAsia"/>
        </w:rPr>
        <w:t>工业园区分布较广。受城市建设影响，部分水系、绿地等生态空间受到侵占，抚河故道等</w:t>
      </w:r>
      <w:r>
        <w:t>湿地</w:t>
      </w:r>
      <w:r>
        <w:rPr>
          <w:rFonts w:hint="eastAsia"/>
        </w:rPr>
        <w:t>资源呈萎缩趋势，导致</w:t>
      </w:r>
      <w:r>
        <w:t>城市生态系统功能退化</w:t>
      </w:r>
      <w:r>
        <w:rPr>
          <w:rFonts w:hint="eastAsia"/>
        </w:rPr>
        <w:t>。城区</w:t>
      </w:r>
      <w:r>
        <w:t>部分河道</w:t>
      </w:r>
      <w:r>
        <w:rPr>
          <w:rFonts w:hint="eastAsia"/>
        </w:rPr>
        <w:t>和</w:t>
      </w:r>
      <w:r>
        <w:t>湖泊缩窄、阻断甚至消亡，使得河流不畅、湖泊封闭，水系连通性变差，</w:t>
      </w:r>
      <w:r>
        <w:rPr>
          <w:rFonts w:hint="eastAsia"/>
        </w:rPr>
        <w:t>造成</w:t>
      </w:r>
      <w:r>
        <w:t>河湖淤塞</w:t>
      </w:r>
      <w:r>
        <w:rPr>
          <w:rFonts w:hint="eastAsia"/>
        </w:rPr>
        <w:t>，</w:t>
      </w:r>
      <w:r>
        <w:t>水环境质量下降。</w:t>
      </w:r>
      <w:r>
        <w:rPr>
          <w:rFonts w:hint="eastAsia"/>
        </w:rPr>
        <w:t>城市绿化不足，公园绿地和开敞空间覆盖率低，</w:t>
      </w:r>
      <w:r>
        <w:t>蓝绿空间连通性不够，滨水空间</w:t>
      </w:r>
      <w:r>
        <w:rPr>
          <w:rFonts w:hint="eastAsia"/>
        </w:rPr>
        <w:t>缺乏</w:t>
      </w:r>
      <w:r>
        <w:t>亲水性</w:t>
      </w:r>
      <w:r>
        <w:rPr>
          <w:rFonts w:hint="eastAsia"/>
        </w:rPr>
        <w:t>，</w:t>
      </w:r>
      <w:r>
        <w:t>水城景融合不佳</w:t>
      </w:r>
      <w:r>
        <w:rPr>
          <w:rFonts w:hint="eastAsia"/>
        </w:rPr>
        <w:t>，造成城市</w:t>
      </w:r>
      <w:r>
        <w:t>生态网络系统性较差</w:t>
      </w:r>
      <w:r>
        <w:rPr>
          <w:rFonts w:hint="eastAsia"/>
        </w:rPr>
        <w:t>，生态品质较低。</w:t>
      </w:r>
    </w:p>
    <w:p w14:paraId="63FC44ED">
      <w:pPr>
        <w:spacing w:before="0" w:after="0"/>
        <w:ind w:firstLine="562"/>
      </w:pPr>
      <w:r>
        <w:rPr>
          <w:rFonts w:hint="eastAsia"/>
          <w:b/>
          <w:bCs/>
        </w:rPr>
        <w:t>——修复方向：</w:t>
      </w:r>
      <w:r>
        <w:rPr>
          <w:rFonts w:hint="eastAsia"/>
        </w:rPr>
        <w:t>该区域以提升城市生态系统服务功能为导向，结合海绵城市及公园城市建设，促进水城融合，提升城市品质。重点加强城市水体保护，开展水系连通整治，实施</w:t>
      </w:r>
      <w:r>
        <w:t>以水质提升和岸线景观改善为重点的生态修复工程，</w:t>
      </w:r>
      <w:r>
        <w:rPr>
          <w:rFonts w:hint="eastAsia"/>
        </w:rPr>
        <w:t>改善</w:t>
      </w:r>
      <w:r>
        <w:t>城市水</w:t>
      </w:r>
      <w:r>
        <w:rPr>
          <w:rFonts w:hint="eastAsia"/>
        </w:rPr>
        <w:t>生态</w:t>
      </w:r>
      <w:r>
        <w:t>环境</w:t>
      </w:r>
      <w:r>
        <w:rPr>
          <w:rFonts w:hint="eastAsia"/>
        </w:rPr>
        <w:t>。</w:t>
      </w:r>
      <w:r>
        <w:t>加强城市</w:t>
      </w:r>
      <w:r>
        <w:rPr>
          <w:rFonts w:hint="eastAsia"/>
        </w:rPr>
        <w:t>绿地景观</w:t>
      </w:r>
      <w:r>
        <w:t>生态修复，</w:t>
      </w:r>
      <w:r>
        <w:rPr>
          <w:rFonts w:hint="eastAsia"/>
        </w:rPr>
        <w:t>改善城市绿地景观，推进绿廊、绿环、绿楔、绿心等绿地建设</w:t>
      </w:r>
      <w:r>
        <w:t>，提升</w:t>
      </w:r>
      <w:r>
        <w:rPr>
          <w:rFonts w:hint="eastAsia"/>
        </w:rPr>
        <w:t>城区</w:t>
      </w:r>
      <w:r>
        <w:t>绿地景观的连续性与可达性。</w:t>
      </w:r>
      <w:r>
        <w:rPr>
          <w:rFonts w:hint="eastAsia"/>
        </w:rPr>
        <w:t>推动</w:t>
      </w:r>
      <w:r>
        <w:t>建设</w:t>
      </w:r>
      <w:r>
        <w:rPr>
          <w:rFonts w:hint="eastAsia"/>
        </w:rPr>
        <w:t>城市</w:t>
      </w:r>
      <w:r>
        <w:t>湿地公园，</w:t>
      </w:r>
      <w:r>
        <w:rPr>
          <w:rFonts w:hint="eastAsia"/>
        </w:rPr>
        <w:t>重点</w:t>
      </w:r>
      <w:r>
        <w:t>针对雄溪河、莲塘河、抚河故道等城区水面</w:t>
      </w:r>
      <w:r>
        <w:rPr>
          <w:rFonts w:hint="eastAsia"/>
        </w:rPr>
        <w:t>开展</w:t>
      </w:r>
      <w:r>
        <w:t>湿地景观恢复</w:t>
      </w:r>
      <w:r>
        <w:rPr>
          <w:rFonts w:hint="eastAsia"/>
        </w:rPr>
        <w:t>，构建</w:t>
      </w:r>
      <w:r>
        <w:t>河流湿地生态廊道</w:t>
      </w:r>
      <w:r>
        <w:rPr>
          <w:rFonts w:hint="eastAsia"/>
        </w:rPr>
        <w:t>，增强其</w:t>
      </w:r>
      <w:r>
        <w:t>游憩</w:t>
      </w:r>
      <w:r>
        <w:rPr>
          <w:rFonts w:hint="eastAsia"/>
        </w:rPr>
        <w:t>和</w:t>
      </w:r>
      <w:r>
        <w:t>生态防护功能</w:t>
      </w:r>
      <w:r>
        <w:rPr>
          <w:rFonts w:hint="eastAsia"/>
        </w:rPr>
        <w:t>。</w:t>
      </w:r>
    </w:p>
    <w:p w14:paraId="12C090C1">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160" w:name="_Toc73089257"/>
      <w:bookmarkStart w:id="161" w:name="_Toc76497678"/>
      <w:bookmarkStart w:id="162" w:name="_Toc88162793"/>
      <w:bookmarkStart w:id="163" w:name="_Toc86257436"/>
      <w:bookmarkStart w:id="164" w:name="_Toc78481183"/>
      <w:bookmarkStart w:id="165" w:name="_Toc121081784"/>
      <w:bookmarkStart w:id="166" w:name="_Toc98172965"/>
      <w:bookmarkStart w:id="167" w:name="_Toc127908968"/>
      <w:r>
        <w:rPr>
          <w:rFonts w:hint="eastAsia" w:ascii="黑体" w:hAnsi="黑体" w:eastAsia="黑体" w:cs="黑体"/>
          <w:b w:val="0"/>
          <w:sz w:val="30"/>
          <w:szCs w:val="30"/>
        </w:rPr>
        <w:t>四、</w:t>
      </w:r>
      <w:bookmarkEnd w:id="160"/>
      <w:bookmarkEnd w:id="161"/>
      <w:bookmarkEnd w:id="162"/>
      <w:bookmarkEnd w:id="163"/>
      <w:bookmarkEnd w:id="164"/>
      <w:bookmarkEnd w:id="165"/>
      <w:bookmarkEnd w:id="166"/>
      <w:r>
        <w:rPr>
          <w:rFonts w:hint="eastAsia" w:ascii="黑体" w:hAnsi="黑体" w:eastAsia="黑体" w:cs="黑体"/>
          <w:b w:val="0"/>
          <w:sz w:val="30"/>
          <w:szCs w:val="30"/>
        </w:rPr>
        <w:t>白虎岭森林质量提升与水土保持区</w:t>
      </w:r>
      <w:bookmarkEnd w:id="167"/>
    </w:p>
    <w:p w14:paraId="0BCEED6C">
      <w:pPr>
        <w:ind w:firstLine="560"/>
        <w:rPr>
          <w:szCs w:val="28"/>
        </w:rPr>
      </w:pPr>
      <w:r>
        <w:rPr>
          <w:rFonts w:hint="eastAsia"/>
        </w:rPr>
        <w:t>本区地处南昌县南部，地理位置优越，是南昌县的南大门，涉及冈上镇、广福镇、三江镇、黄马乡4个乡镇，共</w:t>
      </w:r>
      <w:r>
        <w:t>48个</w:t>
      </w:r>
      <w:r>
        <w:rPr>
          <w:rFonts w:hint="eastAsia"/>
        </w:rPr>
        <w:t>行政村，包含兴农沙漠生态地方级森林公园和白虎岭地方级森林公园，</w:t>
      </w:r>
      <w:r>
        <w:t>总面积</w:t>
      </w:r>
      <w:r>
        <w:rPr>
          <w:rFonts w:hint="eastAsia"/>
        </w:rPr>
        <w:t>约</w:t>
      </w:r>
      <w:r>
        <w:t>257.62</w:t>
      </w:r>
      <w:r>
        <w:rPr>
          <w:rFonts w:hint="eastAsia"/>
        </w:rPr>
        <w:t>平方公里，</w:t>
      </w:r>
      <w:r>
        <w:rPr>
          <w:szCs w:val="28"/>
        </w:rPr>
        <w:t>占</w:t>
      </w:r>
      <w:r>
        <w:rPr>
          <w:rFonts w:hint="eastAsia"/>
          <w:szCs w:val="28"/>
        </w:rPr>
        <w:t>县</w:t>
      </w:r>
      <w:r>
        <w:rPr>
          <w:szCs w:val="28"/>
        </w:rPr>
        <w:t>域总面积</w:t>
      </w:r>
      <w:r>
        <w:rPr>
          <w:rFonts w:hint="eastAsia"/>
          <w:szCs w:val="28"/>
        </w:rPr>
        <w:t>的</w:t>
      </w:r>
      <w:r>
        <w:rPr>
          <w:szCs w:val="28"/>
        </w:rPr>
        <w:t>14.23%。</w:t>
      </w:r>
    </w:p>
    <w:p w14:paraId="5B100EF2">
      <w:pPr>
        <w:spacing w:before="0" w:after="0"/>
        <w:ind w:firstLine="562"/>
      </w:pPr>
      <w:r>
        <w:rPr>
          <w:rFonts w:hint="eastAsia"/>
          <w:b/>
          <w:bCs/>
        </w:rPr>
        <w:t>——生态系统概况：</w:t>
      </w:r>
      <w:r>
        <w:rPr>
          <w:rFonts w:hint="eastAsia"/>
        </w:rPr>
        <w:t>本区位于南昌县赣抚水系上游，赣江经丰城市大港口流入广福镇西部，抚河干流在黄马乡东部箭江口分洪闸流入，同时又分出支流向西流入南昌县，生态地位突出。该区域</w:t>
      </w:r>
      <w:r>
        <w:t>林业资源丰富</w:t>
      </w:r>
      <w:r>
        <w:rPr>
          <w:rFonts w:hint="eastAsia"/>
        </w:rPr>
        <w:t>，境内有</w:t>
      </w:r>
      <w:r>
        <w:t>兴农沙漠</w:t>
      </w:r>
      <w:r>
        <w:rPr>
          <w:rFonts w:hint="eastAsia"/>
        </w:rPr>
        <w:t>、白虎岭两大地方级</w:t>
      </w:r>
      <w:r>
        <w:t>森林公园，</w:t>
      </w:r>
      <w:r>
        <w:rPr>
          <w:rFonts w:hint="eastAsia"/>
        </w:rPr>
        <w:t>是</w:t>
      </w:r>
      <w:r>
        <w:t>南昌县</w:t>
      </w:r>
      <w:r>
        <w:rPr>
          <w:rFonts w:hint="eastAsia"/>
        </w:rPr>
        <w:t>为数不多</w:t>
      </w:r>
      <w:r>
        <w:t>集中连片、规模较大的森林</w:t>
      </w:r>
      <w:r>
        <w:rPr>
          <w:rFonts w:hint="eastAsia"/>
        </w:rPr>
        <w:t>。白虎岭主峰海拔188米，为南昌县最高点，也是鄱阳湖</w:t>
      </w:r>
      <w:r>
        <w:rPr>
          <w:rFonts w:hint="eastAsia"/>
          <w:lang w:eastAsia="zh-CN"/>
        </w:rPr>
        <w:t>冲积平原</w:t>
      </w:r>
      <w:bookmarkStart w:id="314" w:name="_GoBack"/>
      <w:bookmarkEnd w:id="314"/>
      <w:r>
        <w:rPr>
          <w:rFonts w:hint="eastAsia"/>
        </w:rPr>
        <w:t>唯一的丘陵地区，总面积12平方公里，植被覆盖率达94%，山清水秀，自然生态环境优越，是南昌县南部重要的生态屏障。</w:t>
      </w:r>
    </w:p>
    <w:p w14:paraId="14D0203A">
      <w:pPr>
        <w:spacing w:before="0" w:after="0"/>
        <w:ind w:firstLine="562"/>
      </w:pPr>
      <w:r>
        <w:rPr>
          <w:rFonts w:hint="eastAsia"/>
          <w:b/>
          <w:bCs/>
        </w:rPr>
        <w:t>——主要生态问题：</w:t>
      </w:r>
      <w:r>
        <w:rPr>
          <w:rFonts w:hint="eastAsia"/>
        </w:rPr>
        <w:t>本区</w:t>
      </w:r>
      <w:r>
        <w:t>森林覆盖率较高</w:t>
      </w:r>
      <w:r>
        <w:rPr>
          <w:rFonts w:hint="eastAsia"/>
        </w:rPr>
        <w:t>，南昌</w:t>
      </w:r>
      <w:r>
        <w:t>县森林资源大部分分布在</w:t>
      </w:r>
      <w:r>
        <w:rPr>
          <w:rFonts w:hint="eastAsia"/>
        </w:rPr>
        <w:t>此。该区域森林林种</w:t>
      </w:r>
      <w:r>
        <w:t>以人工马尾松、湿地松及杉木林为主</w:t>
      </w:r>
      <w:r>
        <w:rPr>
          <w:rFonts w:hint="eastAsia"/>
        </w:rPr>
        <w:t>，存在纯林较多、混交林少，</w:t>
      </w:r>
      <w:r>
        <w:t>林龄结构不合理</w:t>
      </w:r>
      <w:r>
        <w:rPr>
          <w:rFonts w:hint="eastAsia"/>
        </w:rPr>
        <w:t>，森林层次单一、林相单一等问题，易受病虫害侵扰，森林</w:t>
      </w:r>
      <w:r>
        <w:t>总体</w:t>
      </w:r>
      <w:r>
        <w:rPr>
          <w:rFonts w:hint="eastAsia"/>
        </w:rPr>
        <w:t>质量不高。</w:t>
      </w:r>
      <w:r>
        <w:t>部分</w:t>
      </w:r>
      <w:r>
        <w:rPr>
          <w:rFonts w:hint="eastAsia"/>
        </w:rPr>
        <w:t>区域森林退化，</w:t>
      </w:r>
      <w:r>
        <w:t>林地生产力较低，</w:t>
      </w:r>
      <w:r>
        <w:rPr>
          <w:rFonts w:hint="eastAsia"/>
        </w:rPr>
        <w:t>森林资源遭到破坏，生态环境受损，</w:t>
      </w:r>
      <w:r>
        <w:t>森林涵养水源、保持水土等生态功能总体不高</w:t>
      </w:r>
      <w:r>
        <w:rPr>
          <w:rFonts w:hint="eastAsia"/>
        </w:rPr>
        <w:t>，抚河总干渠沿线植被较少，水源涵养能力不足，有植被破坏现象，水土流失风险较高，</w:t>
      </w:r>
      <w:r>
        <w:t>生态系统整体功能较为脆弱</w:t>
      </w:r>
      <w:r>
        <w:rPr>
          <w:rFonts w:hint="eastAsia"/>
        </w:rPr>
        <w:t>。</w:t>
      </w:r>
    </w:p>
    <w:p w14:paraId="4D7437B2">
      <w:pPr>
        <w:spacing w:before="0" w:after="0"/>
        <w:ind w:firstLine="562"/>
      </w:pPr>
      <w:r>
        <w:rPr>
          <w:rFonts w:hint="eastAsia"/>
          <w:b/>
          <w:bCs/>
        </w:rPr>
        <w:t>——修复方向：</w:t>
      </w:r>
      <w:r>
        <w:rPr>
          <w:rFonts w:hint="eastAsia"/>
        </w:rPr>
        <w:t>重点开展森林质量提升、水土保持等工作，以增强森林生态系统质量和稳定性为导向，积极开展林相改造、低产低效林改造、封山育林和森林生态修复工程，精准提升森林质量。开展林业等有害生物防治，加强森林火灾防控，打击防范森林资源破坏行为，提高森林生态系统稳定性，增强抵御风险的能力。严格林地用途管制，扎实推进人工造林，全面加强国土绿化，持续增加全县森林资源总量。加强水土保持措施，大力推进水土保持及小流域综合治理，以封育管理和自然恢复为主、人工促进修复为辅，</w:t>
      </w:r>
      <w:r>
        <w:t>治理荒坡地、疏幼林地</w:t>
      </w:r>
      <w:r>
        <w:rPr>
          <w:rFonts w:hint="eastAsia"/>
        </w:rPr>
        <w:t>，</w:t>
      </w:r>
      <w:r>
        <w:t>加强水保林、经果林等工程措施建设</w:t>
      </w:r>
      <w:r>
        <w:rPr>
          <w:rFonts w:hint="eastAsia"/>
        </w:rPr>
        <w:t>，增强区域水源涵养和水土保持功能，保障昌南生态安全。</w:t>
      </w:r>
      <w:r>
        <w:br w:type="page"/>
      </w:r>
    </w:p>
    <w:p w14:paraId="24F53E22">
      <w:pPr>
        <w:spacing w:before="240" w:after="240" w:line="578" w:lineRule="auto"/>
        <w:ind w:firstLine="0" w:firstLineChars="0"/>
        <w:jc w:val="center"/>
        <w:outlineLvl w:val="0"/>
        <w:rPr>
          <w:rFonts w:ascii="黑体" w:hAnsi="黑体" w:eastAsia="黑体"/>
          <w:b/>
          <w:bCs/>
          <w:kern w:val="44"/>
          <w:sz w:val="36"/>
          <w:szCs w:val="36"/>
        </w:rPr>
      </w:pPr>
      <w:bookmarkStart w:id="168" w:name="_Toc76497683"/>
      <w:bookmarkStart w:id="169" w:name="_Toc131005119"/>
      <w:bookmarkStart w:id="170" w:name="_Toc78481215"/>
      <w:bookmarkStart w:id="171" w:name="_Toc86257441"/>
      <w:bookmarkStart w:id="172" w:name="_Toc76497690"/>
      <w:r>
        <w:rPr>
          <w:rFonts w:hint="eastAsia" w:ascii="黑体" w:hAnsi="黑体" w:eastAsia="黑体"/>
          <w:b/>
          <w:bCs/>
          <w:kern w:val="44"/>
          <w:sz w:val="36"/>
          <w:szCs w:val="36"/>
        </w:rPr>
        <w:t>第五章  实施</w:t>
      </w:r>
      <w:bookmarkStart w:id="173" w:name="_Hlk127978433"/>
      <w:r>
        <w:rPr>
          <w:rFonts w:hint="eastAsia" w:ascii="黑体" w:hAnsi="黑体" w:eastAsia="黑体"/>
          <w:b/>
          <w:bCs/>
          <w:kern w:val="44"/>
          <w:sz w:val="36"/>
          <w:szCs w:val="36"/>
        </w:rPr>
        <w:t>生态修复重大工程</w:t>
      </w:r>
      <w:bookmarkEnd w:id="168"/>
      <w:bookmarkEnd w:id="169"/>
      <w:bookmarkEnd w:id="170"/>
      <w:bookmarkEnd w:id="171"/>
      <w:bookmarkEnd w:id="173"/>
    </w:p>
    <w:p w14:paraId="7B7B874A">
      <w:pPr>
        <w:spacing w:before="0" w:after="0"/>
        <w:ind w:firstLine="560"/>
      </w:pPr>
      <w:r>
        <w:rPr>
          <w:rFonts w:hint="eastAsia"/>
        </w:rPr>
        <w:t>在深入分析南昌县自然环境现状和生态环境问题的基础上，</w:t>
      </w:r>
      <w:r>
        <w:t>结合生态修复分区</w:t>
      </w:r>
      <w:r>
        <w:rPr>
          <w:rFonts w:hint="eastAsia"/>
        </w:rPr>
        <w:t>，</w:t>
      </w:r>
      <w:r>
        <w:t>聚焦重点</w:t>
      </w:r>
      <w:r>
        <w:rPr>
          <w:rFonts w:hint="eastAsia"/>
        </w:rPr>
        <w:t>区域</w:t>
      </w:r>
      <w:r>
        <w:t>和重点任务，以解决</w:t>
      </w:r>
      <w:r>
        <w:rPr>
          <w:rFonts w:hint="eastAsia"/>
        </w:rPr>
        <w:t>南昌县</w:t>
      </w:r>
      <w:r>
        <w:t>突出生态问题为目标，</w:t>
      </w:r>
      <w:r>
        <w:rPr>
          <w:rFonts w:hint="eastAsia"/>
        </w:rPr>
        <w:t>布置全县生态修复重大工程</w:t>
      </w:r>
      <w:r>
        <w:t>。</w:t>
      </w:r>
      <w:r>
        <w:rPr>
          <w:rFonts w:hint="eastAsia"/>
        </w:rPr>
        <w:t>工程的设置要坚持山水林田湖草沙生命共同体理念，以解决突出生态问题、恢复受损生态系统功能、改善生态系统质量、推进生物多样性保护为导向，进一步筑牢</w:t>
      </w:r>
      <w:r>
        <w:t>“</w:t>
      </w:r>
      <w:r>
        <w:rPr>
          <w:rFonts w:hint="eastAsia"/>
        </w:rPr>
        <w:t>长江中下游重要生态屏障</w:t>
      </w:r>
      <w:r>
        <w:t>”</w:t>
      </w:r>
      <w:r>
        <w:rPr>
          <w:rFonts w:hint="eastAsia"/>
        </w:rPr>
        <w:t>，夯实</w:t>
      </w:r>
      <w:r>
        <w:t>“</w:t>
      </w:r>
      <w:r>
        <w:rPr>
          <w:rFonts w:hint="eastAsia"/>
        </w:rPr>
        <w:t>一心两脉四区多点</w:t>
      </w:r>
      <w:r>
        <w:t>”</w:t>
      </w:r>
      <w:r>
        <w:rPr>
          <w:rFonts w:hint="eastAsia"/>
        </w:rPr>
        <w:t>的全域生态保护修复总体格局。最终在县域内谋划布局了湿地生态保护修复工程、生物多样性保护工程、水环境综合整治与水系连通工程、森林资源保护与质量提升工程、国土综合整治与农用地生态功能提升工程、城乡生态网络连通与人居环境改善工程共6类重大</w:t>
      </w:r>
      <w:r>
        <w:t>工程</w:t>
      </w:r>
      <w:r>
        <w:rPr>
          <w:rFonts w:hint="eastAsia"/>
        </w:rPr>
        <w:t>，包含</w:t>
      </w:r>
      <w:r>
        <w:t>35</w:t>
      </w:r>
      <w:r>
        <w:rPr>
          <w:rFonts w:hint="eastAsia"/>
        </w:rPr>
        <w:t>个重点项目。</w:t>
      </w:r>
    </w:p>
    <w:p w14:paraId="24C9329D">
      <w:pPr>
        <w:spacing w:before="260" w:after="260" w:line="560" w:lineRule="exact"/>
        <w:ind w:firstLine="0" w:firstLineChars="0"/>
        <w:jc w:val="center"/>
        <w:outlineLvl w:val="1"/>
        <w:rPr>
          <w:rFonts w:ascii="黑体" w:hAnsi="黑体" w:eastAsia="黑体" w:cs="仿宋"/>
          <w:b/>
          <w:bCs/>
          <w:sz w:val="32"/>
          <w:szCs w:val="32"/>
        </w:rPr>
      </w:pPr>
      <w:bookmarkStart w:id="174" w:name="_Toc86257446"/>
      <w:bookmarkStart w:id="175" w:name="_Toc76497686"/>
      <w:bookmarkStart w:id="176" w:name="_Toc78481220"/>
      <w:bookmarkStart w:id="177" w:name="_Toc131005120"/>
      <w:r>
        <w:rPr>
          <w:rFonts w:hint="eastAsia" w:ascii="黑体" w:hAnsi="黑体" w:eastAsia="黑体" w:cs="仿宋"/>
          <w:b/>
          <w:bCs/>
          <w:sz w:val="32"/>
          <w:szCs w:val="32"/>
        </w:rPr>
        <w:t>第一节</w:t>
      </w:r>
      <w:bookmarkEnd w:id="174"/>
      <w:bookmarkEnd w:id="175"/>
      <w:bookmarkEnd w:id="176"/>
      <w:r>
        <w:rPr>
          <w:rFonts w:ascii="黑体" w:hAnsi="黑体" w:eastAsia="黑体" w:cs="仿宋"/>
          <w:b/>
          <w:bCs/>
          <w:sz w:val="32"/>
          <w:szCs w:val="32"/>
        </w:rPr>
        <w:t xml:space="preserve"> </w:t>
      </w:r>
      <w:r>
        <w:rPr>
          <w:rFonts w:hint="eastAsia" w:ascii="黑体" w:hAnsi="黑体" w:eastAsia="黑体" w:cs="仿宋"/>
          <w:b/>
          <w:bCs/>
          <w:sz w:val="32"/>
          <w:szCs w:val="32"/>
        </w:rPr>
        <w:t>湿地生态保护修复工程</w:t>
      </w:r>
      <w:bookmarkEnd w:id="177"/>
    </w:p>
    <w:p w14:paraId="14E4F7E6">
      <w:pPr>
        <w:spacing w:before="0" w:after="0"/>
        <w:ind w:firstLine="560"/>
      </w:pPr>
      <w:bookmarkStart w:id="178" w:name="_Hlk88127530"/>
      <w:r>
        <w:rPr>
          <w:rFonts w:hint="eastAsia"/>
        </w:rPr>
        <w:t>重点针对县域内</w:t>
      </w:r>
      <w:r>
        <w:t>湿地生态系统退化</w:t>
      </w:r>
      <w:r>
        <w:rPr>
          <w:rFonts w:hint="eastAsia"/>
        </w:rPr>
        <w:t>等</w:t>
      </w:r>
      <w:r>
        <w:t>问题</w:t>
      </w:r>
      <w:r>
        <w:rPr>
          <w:rFonts w:hint="eastAsia"/>
        </w:rPr>
        <w:t>，</w:t>
      </w:r>
      <w:r>
        <w:t>开展江河湖湿地生态环境</w:t>
      </w:r>
      <w:r>
        <w:rPr>
          <w:rFonts w:hint="eastAsia"/>
        </w:rPr>
        <w:t>的</w:t>
      </w:r>
      <w:r>
        <w:t>保护与修复，</w:t>
      </w:r>
      <w:r>
        <w:rPr>
          <w:rFonts w:hint="eastAsia"/>
        </w:rPr>
        <w:t>以环鄱阳湖湿地为核心，赣江、抚河等骨干河流湿地为重点，布置江西南昌</w:t>
      </w:r>
      <w:bookmarkStart w:id="179" w:name="_Hlk129005615"/>
      <w:r>
        <w:rPr>
          <w:rFonts w:hint="eastAsia"/>
        </w:rPr>
        <w:t>三湖地方级湿地公园保护修复</w:t>
      </w:r>
      <w:bookmarkEnd w:id="179"/>
      <w:r>
        <w:rPr>
          <w:rFonts w:hint="eastAsia"/>
        </w:rPr>
        <w:t>项目、鄱阳湖湿地生态气候监测评估能力提升项目、滨河（湖）生态缓冲带划定与生态修复项目、南昌县小微湿地建设项目4大</w:t>
      </w:r>
      <w:r>
        <w:t>重点项目</w:t>
      </w:r>
      <w:r>
        <w:rPr>
          <w:rFonts w:hint="eastAsia"/>
        </w:rPr>
        <w:t>，使湿地生态系统功能得到恢复，开展各项湿地资源调查、环境评价、湿地生态监测、湿地科研活动，将江西南昌三湖地方级湿地公园打造成国家级湿地公园，主要</w:t>
      </w:r>
      <w:r>
        <w:t>涉及</w:t>
      </w:r>
      <w:r>
        <w:rPr>
          <w:rFonts w:hint="eastAsia"/>
        </w:rPr>
        <w:t>南新乡、蒋巷镇、将军洲农场、泾口乡、塔城乡等地区。</w:t>
      </w:r>
    </w:p>
    <w:bookmarkEnd w:id="178"/>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A6F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vAlign w:val="center"/>
          </w:tcPr>
          <w:p w14:paraId="76AB2E53">
            <w:pPr>
              <w:spacing w:before="0" w:after="0" w:line="240" w:lineRule="auto"/>
              <w:ind w:firstLine="0" w:firstLineChars="0"/>
              <w:jc w:val="center"/>
              <w:rPr>
                <w:rFonts w:hAnsi="Times New Roman"/>
                <w:b/>
                <w:bCs/>
                <w:kern w:val="0"/>
                <w:sz w:val="24"/>
                <w:szCs w:val="24"/>
                <w:lang w:bidi="ar"/>
              </w:rPr>
            </w:pPr>
            <w:r>
              <w:rPr>
                <w:rFonts w:hint="eastAsia" w:hAnsi="Times New Roman"/>
                <w:b/>
                <w:bCs/>
                <w:kern w:val="0"/>
                <w:sz w:val="24"/>
                <w:szCs w:val="24"/>
                <w:lang w:bidi="ar"/>
              </w:rPr>
              <w:t>专栏5-1  湿地生态保护修复工程</w:t>
            </w:r>
          </w:p>
        </w:tc>
      </w:tr>
      <w:tr w14:paraId="6329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5" w:hRule="atLeast"/>
        </w:trPr>
        <w:tc>
          <w:tcPr>
            <w:tcW w:w="5000" w:type="pct"/>
          </w:tcPr>
          <w:p w14:paraId="6F49458D">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1</w:t>
            </w:r>
            <w:r>
              <w:rPr>
                <w:rFonts w:hAnsi="Times New Roman"/>
                <w:b/>
                <w:bCs/>
                <w:kern w:val="0"/>
                <w:sz w:val="24"/>
                <w:szCs w:val="24"/>
                <w:lang w:bidi="ar"/>
              </w:rPr>
              <w:t>.</w:t>
            </w:r>
            <w:r>
              <w:rPr>
                <w:rFonts w:hint="eastAsia" w:hAnsi="Times New Roman"/>
                <w:b/>
                <w:bCs/>
                <w:kern w:val="0"/>
                <w:sz w:val="24"/>
                <w:szCs w:val="24"/>
                <w:lang w:bidi="ar"/>
              </w:rPr>
              <w:t>江西南昌三湖地方级湿地公园保护修复项目</w:t>
            </w:r>
          </w:p>
          <w:p w14:paraId="7F870E50">
            <w:pPr>
              <w:spacing w:before="0" w:after="0"/>
              <w:ind w:firstLine="0" w:firstLineChars="0"/>
              <w:rPr>
                <w:sz w:val="24"/>
                <w:szCs w:val="24"/>
              </w:rPr>
            </w:pPr>
            <w:r>
              <w:rPr>
                <w:rFonts w:hint="eastAsia" w:hAnsi="Times New Roman"/>
                <w:b/>
                <w:bCs/>
                <w:kern w:val="0"/>
                <w:sz w:val="24"/>
                <w:szCs w:val="24"/>
                <w:lang w:bidi="ar"/>
              </w:rPr>
              <w:t>主要任务</w:t>
            </w:r>
            <w:r>
              <w:rPr>
                <w:rFonts w:hint="eastAsia"/>
                <w:b/>
                <w:bCs/>
                <w:sz w:val="24"/>
                <w:szCs w:val="24"/>
              </w:rPr>
              <w:t>：</w:t>
            </w:r>
            <w:r>
              <w:rPr>
                <w:rFonts w:hint="eastAsia"/>
                <w:sz w:val="24"/>
                <w:szCs w:val="24"/>
              </w:rPr>
              <w:t>针对湿地公园草地生态系统退化、水土流失、森林破坏、生态服务功能变弱等问题，实施泥沙清淤和河道疏浚，并对河湖消落带进行地质治理与适生植被培育与种植。通过基质恢复、植被修复、底栖生物恢复、浅滩和生态护坡营造、水鸟生境营建等措施，改善湿地生态质量，提升湿地生态功能，增加鄱阳湖湿地面积，维持越冬水鸟和鱼类栖息地生态环境。加强湿地综合保护和建设管理，对湿地公园内的古树名木进行登记造册，并予以妥善保护，维护湿地的生态平衡，促进湿地的可持续利用，开展各项湿地资源调查、环境评价、湿地生态监测、湿地科研活动。</w:t>
            </w:r>
          </w:p>
        </w:tc>
      </w:tr>
      <w:tr w14:paraId="200D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0" w:hRule="atLeast"/>
        </w:trPr>
        <w:tc>
          <w:tcPr>
            <w:tcW w:w="5000" w:type="pct"/>
          </w:tcPr>
          <w:p w14:paraId="61223CAE">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2</w:t>
            </w:r>
            <w:r>
              <w:rPr>
                <w:rFonts w:hAnsi="Times New Roman"/>
                <w:b/>
                <w:bCs/>
                <w:kern w:val="0"/>
                <w:sz w:val="24"/>
                <w:szCs w:val="24"/>
                <w:lang w:bidi="ar"/>
              </w:rPr>
              <w:t>.</w:t>
            </w:r>
            <w:r>
              <w:rPr>
                <w:rFonts w:hint="eastAsia" w:hAnsi="Times New Roman"/>
                <w:b/>
                <w:bCs/>
                <w:kern w:val="0"/>
                <w:sz w:val="24"/>
                <w:szCs w:val="24"/>
                <w:lang w:bidi="ar"/>
              </w:rPr>
              <w:t>鄱阳湖湿地生态气候监测评估能力提升项目</w:t>
            </w:r>
          </w:p>
          <w:p w14:paraId="13D64887">
            <w:pPr>
              <w:spacing w:before="0" w:after="0"/>
              <w:ind w:firstLine="0" w:firstLineChars="0"/>
              <w:rPr>
                <w:rFonts w:ascii="Times New Roman" w:hAnsi="Times New Roman" w:eastAsia="仿宋"/>
                <w:b/>
                <w:bCs/>
                <w:kern w:val="0"/>
                <w:sz w:val="24"/>
                <w:szCs w:val="24"/>
                <w:lang w:bidi="ar"/>
              </w:rPr>
            </w:pPr>
            <w:r>
              <w:rPr>
                <w:rFonts w:hint="eastAsia" w:hAnsi="Times New Roman"/>
                <w:b/>
                <w:bCs/>
                <w:kern w:val="0"/>
                <w:sz w:val="24"/>
                <w:szCs w:val="24"/>
                <w:lang w:bidi="ar"/>
              </w:rPr>
              <w:t>主要</w:t>
            </w:r>
            <w:r>
              <w:rPr>
                <w:rFonts w:hint="eastAsia"/>
                <w:b/>
                <w:bCs/>
                <w:sz w:val="24"/>
                <w:szCs w:val="24"/>
              </w:rPr>
              <w:t>任务：</w:t>
            </w:r>
            <w:r>
              <w:rPr>
                <w:rFonts w:hint="eastAsia"/>
                <w:sz w:val="24"/>
                <w:szCs w:val="24"/>
              </w:rPr>
              <w:t>完善鄱阳湖湿地生态气象监测，在鄱阳湖湿地区域建立湿地生态气象监测站和小气候监测站网，布设气象生态浮标观测站、湿地植被自动观测站、微波辐射仪、自动气象监测站等，并新建鄱阳湖越冬候鸟迁飞检测雷达，引入卫星多源遥感观测系统，进一步提升生态气象监测能力。建成天地空一体的生态气象观测网络，实现对鄱阳湖湿地植被、水体变化、动植物栖息水环境、土地类型变化的气候影响评估，提升鄱阳湖湿地生态评估能力，为鄱阳湖湿地生态保护修复提供技术支撑。</w:t>
            </w:r>
          </w:p>
        </w:tc>
      </w:tr>
      <w:tr w14:paraId="6F41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5000" w:type="pct"/>
          </w:tcPr>
          <w:p w14:paraId="5CDA604C">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3.</w:t>
            </w:r>
            <w:r>
              <w:rPr>
                <w:rFonts w:hint="eastAsia" w:hAnsi="Times New Roman"/>
                <w:b/>
                <w:bCs/>
                <w:kern w:val="0"/>
                <w:sz w:val="24"/>
                <w:szCs w:val="24"/>
                <w:lang w:bidi="ar"/>
              </w:rPr>
              <w:t>滨河（湖）生态缓冲带划定与生态修复项目</w:t>
            </w:r>
          </w:p>
          <w:p w14:paraId="04D33DA2">
            <w:pPr>
              <w:spacing w:before="0" w:after="0"/>
              <w:ind w:firstLine="0" w:firstLineChars="0"/>
              <w:rPr>
                <w:rFonts w:hAnsi="Times New Roman"/>
                <w:kern w:val="0"/>
                <w:sz w:val="24"/>
                <w:szCs w:val="24"/>
                <w:lang w:bidi="ar"/>
              </w:rPr>
            </w:pPr>
            <w:r>
              <w:rPr>
                <w:rFonts w:hint="eastAsia" w:hAnsi="Times New Roman"/>
                <w:b/>
                <w:bCs/>
                <w:kern w:val="0"/>
                <w:sz w:val="24"/>
                <w:szCs w:val="24"/>
                <w:lang w:bidi="ar"/>
              </w:rPr>
              <w:t>主要任务：</w:t>
            </w:r>
            <w:r>
              <w:rPr>
                <w:rFonts w:hint="eastAsia" w:hAnsi="Times New Roman"/>
                <w:kern w:val="0"/>
                <w:sz w:val="24"/>
                <w:szCs w:val="24"/>
                <w:lang w:bidi="ar"/>
              </w:rPr>
              <w:t>重点开展赣江岸线生态综合治理、环鄱阳湖岸线生态修复，打造近自然的滨湖生态缓冲带。加强</w:t>
            </w:r>
            <w:r>
              <w:rPr>
                <w:rFonts w:hAnsi="Times New Roman"/>
                <w:kern w:val="0"/>
                <w:sz w:val="24"/>
                <w:szCs w:val="24"/>
                <w:lang w:bidi="ar"/>
              </w:rPr>
              <w:t>湖滨</w:t>
            </w:r>
            <w:r>
              <w:rPr>
                <w:rFonts w:hint="eastAsia" w:hAnsi="Times New Roman"/>
                <w:kern w:val="0"/>
                <w:sz w:val="24"/>
                <w:szCs w:val="24"/>
                <w:lang w:bidi="ar"/>
              </w:rPr>
              <w:t>和</w:t>
            </w:r>
            <w:r>
              <w:rPr>
                <w:rFonts w:hAnsi="Times New Roman"/>
                <w:kern w:val="0"/>
                <w:sz w:val="24"/>
                <w:szCs w:val="24"/>
                <w:lang w:bidi="ar"/>
              </w:rPr>
              <w:t>河流生态缓冲带</w:t>
            </w:r>
            <w:r>
              <w:rPr>
                <w:rFonts w:hint="eastAsia" w:hAnsi="Times New Roman"/>
                <w:kern w:val="0"/>
                <w:sz w:val="24"/>
                <w:szCs w:val="24"/>
                <w:lang w:bidi="ar"/>
              </w:rPr>
              <w:t>生态建设、维护与监测评价，通过</w:t>
            </w:r>
            <w:r>
              <w:rPr>
                <w:rFonts w:hAnsi="Times New Roman"/>
                <w:kern w:val="0"/>
                <w:sz w:val="24"/>
                <w:szCs w:val="24"/>
                <w:lang w:bidi="ar"/>
              </w:rPr>
              <w:t>基底修复</w:t>
            </w:r>
            <w:r>
              <w:rPr>
                <w:rFonts w:hint="eastAsia" w:hAnsi="Times New Roman"/>
                <w:kern w:val="0"/>
                <w:sz w:val="24"/>
                <w:szCs w:val="24"/>
                <w:lang w:bidi="ar"/>
              </w:rPr>
              <w:t>、水质改善、</w:t>
            </w:r>
            <w:r>
              <w:rPr>
                <w:rFonts w:hAnsi="Times New Roman"/>
                <w:kern w:val="0"/>
                <w:sz w:val="24"/>
                <w:szCs w:val="24"/>
                <w:lang w:bidi="ar"/>
              </w:rPr>
              <w:t>植物群落构建</w:t>
            </w:r>
            <w:r>
              <w:rPr>
                <w:rFonts w:hint="eastAsia" w:hAnsi="Times New Roman"/>
                <w:kern w:val="0"/>
                <w:sz w:val="24"/>
                <w:szCs w:val="24"/>
                <w:lang w:bidi="ar"/>
              </w:rPr>
              <w:t>、</w:t>
            </w:r>
            <w:r>
              <w:rPr>
                <w:rFonts w:hAnsi="Times New Roman"/>
                <w:kern w:val="0"/>
                <w:sz w:val="24"/>
                <w:szCs w:val="24"/>
                <w:lang w:bidi="ar"/>
              </w:rPr>
              <w:t>植物群落修复</w:t>
            </w:r>
            <w:r>
              <w:rPr>
                <w:rFonts w:hint="eastAsia" w:hAnsi="Times New Roman"/>
                <w:kern w:val="0"/>
                <w:sz w:val="24"/>
                <w:szCs w:val="24"/>
                <w:lang w:bidi="ar"/>
              </w:rPr>
              <w:t>、</w:t>
            </w:r>
            <w:r>
              <w:rPr>
                <w:rFonts w:hAnsi="Times New Roman"/>
                <w:kern w:val="0"/>
                <w:sz w:val="24"/>
                <w:szCs w:val="24"/>
                <w:lang w:bidi="ar"/>
              </w:rPr>
              <w:t>生境营造</w:t>
            </w:r>
            <w:r>
              <w:rPr>
                <w:rFonts w:hint="eastAsia" w:hAnsi="Times New Roman"/>
                <w:kern w:val="0"/>
                <w:sz w:val="24"/>
                <w:szCs w:val="24"/>
                <w:lang w:bidi="ar"/>
              </w:rPr>
              <w:t>、建设生态拦截沟等措施，恢复</w:t>
            </w:r>
            <w:r>
              <w:rPr>
                <w:rFonts w:hAnsi="Times New Roman"/>
                <w:kern w:val="0"/>
                <w:sz w:val="24"/>
                <w:szCs w:val="24"/>
                <w:lang w:bidi="ar"/>
              </w:rPr>
              <w:t>受损河湖岸带生态系统生境条件</w:t>
            </w:r>
            <w:r>
              <w:rPr>
                <w:rFonts w:hint="eastAsia" w:hAnsi="Times New Roman"/>
                <w:kern w:val="0"/>
                <w:sz w:val="24"/>
                <w:szCs w:val="24"/>
                <w:lang w:bidi="ar"/>
              </w:rPr>
              <w:t>，</w:t>
            </w:r>
            <w:r>
              <w:rPr>
                <w:rFonts w:hAnsi="Times New Roman"/>
                <w:kern w:val="0"/>
                <w:sz w:val="24"/>
                <w:szCs w:val="24"/>
                <w:lang w:bidi="ar"/>
              </w:rPr>
              <w:t>使退化的河湖岸带恢复到健康状态，满足其主要生态服务功能</w:t>
            </w:r>
            <w:r>
              <w:rPr>
                <w:rFonts w:hint="eastAsia" w:hAnsi="Times New Roman"/>
                <w:kern w:val="0"/>
                <w:sz w:val="24"/>
                <w:szCs w:val="24"/>
                <w:lang w:bidi="ar"/>
              </w:rPr>
              <w:t>。</w:t>
            </w:r>
          </w:p>
        </w:tc>
      </w:tr>
      <w:tr w14:paraId="0C58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60F76F4">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4.</w:t>
            </w:r>
            <w:r>
              <w:rPr>
                <w:rFonts w:hint="eastAsia" w:hAnsi="Times New Roman"/>
                <w:b/>
                <w:bCs/>
                <w:kern w:val="0"/>
                <w:sz w:val="24"/>
                <w:szCs w:val="24"/>
                <w:lang w:bidi="ar"/>
              </w:rPr>
              <w:t>南昌县小微湿地建设项目</w:t>
            </w:r>
          </w:p>
          <w:p w14:paraId="39649F9A">
            <w:pPr>
              <w:spacing w:before="0" w:after="0"/>
              <w:ind w:firstLine="0" w:firstLineChars="0"/>
              <w:rPr>
                <w:rFonts w:ascii="Times New Roman" w:hAnsi="Times New Roman" w:eastAsia="仿宋"/>
                <w:b/>
                <w:bCs/>
                <w:kern w:val="0"/>
                <w:sz w:val="24"/>
                <w:szCs w:val="24"/>
                <w:lang w:bidi="ar"/>
              </w:rPr>
            </w:pPr>
            <w:r>
              <w:rPr>
                <w:rFonts w:hint="eastAsia" w:hAnsi="Times New Roman"/>
                <w:b/>
                <w:bCs/>
                <w:kern w:val="0"/>
                <w:sz w:val="24"/>
                <w:szCs w:val="24"/>
                <w:lang w:bidi="ar"/>
              </w:rPr>
              <w:t>主要</w:t>
            </w:r>
            <w:r>
              <w:rPr>
                <w:rFonts w:hint="eastAsia"/>
                <w:b/>
                <w:bCs/>
                <w:sz w:val="24"/>
                <w:szCs w:val="24"/>
              </w:rPr>
              <w:t>任务：</w:t>
            </w:r>
            <w:r>
              <w:rPr>
                <w:rFonts w:hint="eastAsia"/>
                <w:sz w:val="24"/>
                <w:szCs w:val="24"/>
              </w:rPr>
              <w:t>实施小微湿地建设，针对赣江中支、赣江南支、三官河河道圩堤内仍存在少量占用河滩地进行私自围堰、私自耕作的行为进行整治，将部分耕地和养殖鱼塘拆除或搬迁，恢复湿地自然状态。同时依据湿地植被生长格局，结合乡村闲置建设用地、造林地块低洼地以及预留的技术坑塘、沟渠等，开展基底修复与地形改造，种植水生植物构成浅滩进行生境改造，因地制宜进行景观提升，结合地形建设生态护坡，补植树种进行景观提升。</w:t>
            </w:r>
          </w:p>
        </w:tc>
      </w:tr>
    </w:tbl>
    <w:p w14:paraId="5F6EB535">
      <w:pPr>
        <w:spacing w:before="260" w:after="260" w:line="560" w:lineRule="exact"/>
        <w:ind w:firstLine="0" w:firstLineChars="0"/>
        <w:jc w:val="center"/>
        <w:outlineLvl w:val="1"/>
        <w:rPr>
          <w:rFonts w:ascii="黑体" w:hAnsi="黑体" w:eastAsia="黑体" w:cs="仿宋"/>
          <w:b/>
          <w:bCs/>
          <w:sz w:val="32"/>
          <w:szCs w:val="32"/>
        </w:rPr>
      </w:pPr>
      <w:bookmarkStart w:id="180" w:name="_Toc131005121"/>
      <w:r>
        <w:rPr>
          <w:rFonts w:hint="eastAsia" w:ascii="黑体" w:hAnsi="黑体" w:eastAsia="黑体" w:cs="仿宋"/>
          <w:b/>
          <w:bCs/>
          <w:sz w:val="32"/>
          <w:szCs w:val="32"/>
        </w:rPr>
        <w:t>第二节</w:t>
      </w:r>
      <w:r>
        <w:rPr>
          <w:rFonts w:ascii="黑体" w:hAnsi="黑体" w:eastAsia="黑体" w:cs="仿宋"/>
          <w:b/>
          <w:bCs/>
          <w:sz w:val="32"/>
          <w:szCs w:val="32"/>
        </w:rPr>
        <w:t xml:space="preserve"> </w:t>
      </w:r>
      <w:r>
        <w:rPr>
          <w:rFonts w:hint="eastAsia" w:ascii="黑体" w:hAnsi="黑体" w:eastAsia="黑体" w:cs="仿宋"/>
          <w:b/>
          <w:bCs/>
          <w:sz w:val="32"/>
          <w:szCs w:val="32"/>
        </w:rPr>
        <w:t>生物多样性保护工程</w:t>
      </w:r>
      <w:bookmarkEnd w:id="180"/>
    </w:p>
    <w:p w14:paraId="42691C10">
      <w:pPr>
        <w:ind w:firstLine="560"/>
      </w:pPr>
      <w:r>
        <w:t>以生物多样性保护为目标，重点在</w:t>
      </w:r>
      <w:r>
        <w:rPr>
          <w:rFonts w:hint="eastAsia"/>
        </w:rPr>
        <w:t>鄱阳湖、赣江、抚河和白虎岭等区域</w:t>
      </w:r>
      <w:r>
        <w:t>开展生物多样性恢复建设</w:t>
      </w:r>
      <w:r>
        <w:rPr>
          <w:rFonts w:hint="eastAsia"/>
        </w:rPr>
        <w:t>，加强物种栖息地保护，</w:t>
      </w:r>
      <w:r>
        <w:t>对珍稀濒危野生动物实施种质资源保育</w:t>
      </w:r>
      <w:r>
        <w:rPr>
          <w:rFonts w:hint="eastAsia"/>
        </w:rPr>
        <w:t>，在重点区域开展生物物种资源调查，完善野生动植物资源监测体系，开展松材线虫等有害生物防治，防范外来物种入侵。工程共包含珍稀特有物种栖息地保护修复项目、南昌县野生生物资源调查评估项目、森林病虫害枯死树木除治项目、南昌县渔业资源增殖放流项目、外来物种入侵防治项目共</w:t>
      </w:r>
      <w:r>
        <w:t>5</w:t>
      </w:r>
      <w:r>
        <w:rPr>
          <w:rFonts w:hint="eastAsia"/>
        </w:rPr>
        <w:t>个重点项目，主要涉及南新乡、蒋巷镇、泾口乡、塔城乡、幽兰镇、三江镇、冈上镇、广福镇、黄马乡等乡镇。</w:t>
      </w:r>
    </w:p>
    <w:p w14:paraId="6139AB20">
      <w:pPr>
        <w:ind w:firstLine="560"/>
      </w:pPr>
    </w:p>
    <w:p w14:paraId="0112F596">
      <w:pPr>
        <w:ind w:firstLine="560"/>
      </w:pPr>
    </w:p>
    <w:p w14:paraId="138B36E7">
      <w:pPr>
        <w:ind w:firstLine="560"/>
      </w:pPr>
    </w:p>
    <w:p w14:paraId="3BA3C39D">
      <w:pPr>
        <w:ind w:firstLine="560"/>
        <w:rPr>
          <w:rFonts w:cs="仿宋_GB2312"/>
        </w:rPr>
      </w:pP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DF1C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vAlign w:val="center"/>
          </w:tcPr>
          <w:p w14:paraId="49707DD6">
            <w:pPr>
              <w:spacing w:before="0" w:after="0" w:line="240" w:lineRule="auto"/>
              <w:ind w:firstLine="0" w:firstLineChars="0"/>
              <w:jc w:val="center"/>
              <w:rPr>
                <w:rFonts w:ascii="Times New Roman" w:hAnsi="Times New Roman" w:eastAsia="仿宋"/>
                <w:b/>
                <w:bCs/>
                <w:kern w:val="0"/>
                <w:sz w:val="24"/>
                <w:szCs w:val="24"/>
                <w:lang w:bidi="ar"/>
              </w:rPr>
            </w:pPr>
            <w:bookmarkStart w:id="181" w:name="_Toc86257450"/>
            <w:bookmarkStart w:id="182" w:name="_Toc76497687"/>
            <w:bookmarkStart w:id="183" w:name="_Toc78481224"/>
            <w:r>
              <w:rPr>
                <w:rFonts w:hint="eastAsia" w:hAnsi="Times New Roman"/>
                <w:b/>
                <w:bCs/>
                <w:kern w:val="0"/>
                <w:sz w:val="24"/>
                <w:szCs w:val="24"/>
                <w:lang w:bidi="ar"/>
              </w:rPr>
              <w:t>专栏5</w:t>
            </w:r>
            <w:r>
              <w:rPr>
                <w:rFonts w:hAnsi="Times New Roman"/>
                <w:b/>
                <w:bCs/>
                <w:kern w:val="0"/>
                <w:sz w:val="24"/>
                <w:szCs w:val="24"/>
                <w:lang w:bidi="ar"/>
              </w:rPr>
              <w:t xml:space="preserve">-2  </w:t>
            </w:r>
            <w:r>
              <w:rPr>
                <w:rFonts w:hint="eastAsia" w:hAnsi="Times New Roman"/>
                <w:b/>
                <w:bCs/>
                <w:kern w:val="0"/>
                <w:sz w:val="24"/>
                <w:szCs w:val="24"/>
                <w:lang w:bidi="ar"/>
              </w:rPr>
              <w:t>生物多样性保护工程</w:t>
            </w:r>
          </w:p>
        </w:tc>
      </w:tr>
      <w:tr w14:paraId="2DEEA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5" w:hRule="atLeast"/>
        </w:trPr>
        <w:tc>
          <w:tcPr>
            <w:tcW w:w="5000" w:type="pct"/>
          </w:tcPr>
          <w:p w14:paraId="4B27A937">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1</w:t>
            </w:r>
            <w:r>
              <w:rPr>
                <w:rFonts w:hAnsi="Times New Roman"/>
                <w:b/>
                <w:bCs/>
                <w:kern w:val="0"/>
                <w:sz w:val="24"/>
                <w:szCs w:val="24"/>
                <w:lang w:bidi="ar"/>
              </w:rPr>
              <w:t>.</w:t>
            </w:r>
            <w:r>
              <w:rPr>
                <w:rFonts w:hint="eastAsia" w:hAnsi="Times New Roman"/>
                <w:b/>
                <w:bCs/>
                <w:kern w:val="0"/>
                <w:sz w:val="24"/>
                <w:szCs w:val="24"/>
                <w:lang w:bidi="ar"/>
              </w:rPr>
              <w:t>珍稀特有物种栖息地保护修复项目</w:t>
            </w:r>
          </w:p>
          <w:p w14:paraId="1EA4F7D8">
            <w:pPr>
              <w:spacing w:before="0" w:after="0"/>
              <w:ind w:firstLine="0" w:firstLineChars="0"/>
              <w:rPr>
                <w:sz w:val="24"/>
                <w:szCs w:val="24"/>
              </w:rPr>
            </w:pPr>
            <w:r>
              <w:rPr>
                <w:rFonts w:hint="eastAsia" w:hAnsi="Times New Roman"/>
                <w:b/>
                <w:bCs/>
                <w:kern w:val="0"/>
                <w:sz w:val="24"/>
                <w:szCs w:val="24"/>
                <w:lang w:bidi="ar"/>
              </w:rPr>
              <w:t>主要</w:t>
            </w:r>
            <w:r>
              <w:rPr>
                <w:rFonts w:hint="eastAsia"/>
                <w:b/>
                <w:bCs/>
                <w:sz w:val="24"/>
                <w:szCs w:val="24"/>
              </w:rPr>
              <w:t>任务：</w:t>
            </w:r>
            <w:r>
              <w:rPr>
                <w:rFonts w:hint="eastAsia"/>
                <w:sz w:val="24"/>
                <w:szCs w:val="24"/>
              </w:rPr>
              <w:t>建立赣江江豚保护小区，恢复水生生物江湖生态通道，沿江实施湿地生态修复，强化生态保护红线等管控措施，提升区域江湖连通生态环境质量。对鄱阳湖（南昌湖区）和赣江下游已遭到破坏的重要水禽分布区、候鸟栖息地和迁徙停歇地、珍稀植物原生地、鱼类重要产卵区、洄游通道等关键地区，开展栖息地的恢复，恢复江豚、白鹤等珍稀特有物种栖息地生境。</w:t>
            </w:r>
          </w:p>
        </w:tc>
      </w:tr>
      <w:tr w14:paraId="1ACF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5000" w:type="pct"/>
          </w:tcPr>
          <w:p w14:paraId="73280DB9">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2.</w:t>
            </w:r>
            <w:r>
              <w:rPr>
                <w:rFonts w:hint="eastAsia" w:hAnsi="Times New Roman"/>
                <w:b/>
                <w:bCs/>
                <w:kern w:val="0"/>
                <w:sz w:val="24"/>
                <w:szCs w:val="24"/>
                <w:lang w:bidi="ar"/>
              </w:rPr>
              <w:t>南昌县野生生物资源调查评估项目</w:t>
            </w:r>
          </w:p>
          <w:p w14:paraId="0E75404C">
            <w:pPr>
              <w:spacing w:before="0" w:after="0"/>
              <w:ind w:firstLine="0" w:firstLineChars="0"/>
              <w:rPr>
                <w:rFonts w:hAnsi="Times New Roman"/>
                <w:b/>
                <w:bCs/>
                <w:kern w:val="0"/>
                <w:sz w:val="24"/>
                <w:szCs w:val="24"/>
                <w:lang w:bidi="ar"/>
              </w:rPr>
            </w:pPr>
            <w:r>
              <w:rPr>
                <w:rFonts w:hint="eastAsia" w:hAnsi="Times New Roman"/>
                <w:b/>
                <w:bCs/>
                <w:kern w:val="0"/>
                <w:sz w:val="24"/>
                <w:szCs w:val="24"/>
                <w:lang w:bidi="ar"/>
              </w:rPr>
              <w:t>主要</w:t>
            </w:r>
            <w:r>
              <w:rPr>
                <w:rFonts w:hint="eastAsia"/>
                <w:b/>
                <w:bCs/>
                <w:sz w:val="24"/>
                <w:szCs w:val="24"/>
              </w:rPr>
              <w:t>任务：</w:t>
            </w:r>
            <w:r>
              <w:rPr>
                <w:rFonts w:hint="eastAsia"/>
                <w:sz w:val="24"/>
                <w:szCs w:val="24"/>
              </w:rPr>
              <w:t>对南昌县典型生态系统、重点物种、重要生物遗传资源开展调查、观测和评估，建立种质资源数据库和信息共享管理系统</w:t>
            </w:r>
            <w:r>
              <w:rPr>
                <w:sz w:val="24"/>
                <w:szCs w:val="24"/>
              </w:rPr>
              <w:t>,提高生物资源的管理和信息交流能力。针对重点保护的珍稀濒危野生动植物种,建立种源繁育中心,保存种质资源,扩大种群数量。</w:t>
            </w:r>
          </w:p>
        </w:tc>
      </w:tr>
      <w:tr w14:paraId="5017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trPr>
        <w:tc>
          <w:tcPr>
            <w:tcW w:w="5000" w:type="pct"/>
          </w:tcPr>
          <w:p w14:paraId="1E6F2E59">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3.</w:t>
            </w:r>
            <w:r>
              <w:rPr>
                <w:rFonts w:hint="eastAsia" w:hAnsi="Times New Roman"/>
                <w:b/>
                <w:bCs/>
                <w:kern w:val="0"/>
                <w:sz w:val="24"/>
                <w:szCs w:val="24"/>
                <w:lang w:bidi="ar"/>
              </w:rPr>
              <w:t>森林病虫害枯死树木除治项目</w:t>
            </w:r>
          </w:p>
          <w:p w14:paraId="71A35E6D">
            <w:pPr>
              <w:spacing w:before="0" w:after="0"/>
              <w:ind w:firstLine="0" w:firstLineChars="0"/>
              <w:rPr>
                <w:sz w:val="24"/>
                <w:szCs w:val="24"/>
              </w:rPr>
            </w:pPr>
            <w:r>
              <w:rPr>
                <w:rFonts w:hint="eastAsia" w:hAnsi="Times New Roman"/>
                <w:b/>
                <w:bCs/>
                <w:kern w:val="0"/>
                <w:sz w:val="24"/>
                <w:szCs w:val="24"/>
                <w:lang w:bidi="ar"/>
              </w:rPr>
              <w:t>主要</w:t>
            </w:r>
            <w:r>
              <w:rPr>
                <w:rFonts w:hint="eastAsia"/>
                <w:b/>
                <w:bCs/>
                <w:sz w:val="24"/>
                <w:szCs w:val="24"/>
              </w:rPr>
              <w:t>任务：</w:t>
            </w:r>
            <w:r>
              <w:rPr>
                <w:rFonts w:hint="eastAsia"/>
                <w:sz w:val="24"/>
                <w:szCs w:val="24"/>
              </w:rPr>
              <w:t>监测松材线虫等重大林业有害生物发生情况，以防控松材线虫病为重点，</w:t>
            </w:r>
            <w:r>
              <w:rPr>
                <w:sz w:val="24"/>
                <w:szCs w:val="24"/>
              </w:rPr>
              <w:t>加大对松材线虫等林业有害生物的检疫防范和防治力度</w:t>
            </w:r>
            <w:r>
              <w:rPr>
                <w:rFonts w:hint="eastAsia"/>
                <w:sz w:val="24"/>
                <w:szCs w:val="24"/>
              </w:rPr>
              <w:t>，</w:t>
            </w:r>
            <w:r>
              <w:rPr>
                <w:sz w:val="24"/>
                <w:szCs w:val="24"/>
              </w:rPr>
              <w:t>加大白虎岭、兴农沙漠等重点区域景观松林的保护力度，加强林业有害生物防治基础设施建设</w:t>
            </w:r>
            <w:r>
              <w:rPr>
                <w:rFonts w:hint="eastAsia"/>
                <w:sz w:val="24"/>
                <w:szCs w:val="24"/>
              </w:rPr>
              <w:t>，</w:t>
            </w:r>
            <w:r>
              <w:rPr>
                <w:sz w:val="24"/>
                <w:szCs w:val="24"/>
              </w:rPr>
              <w:t>强化森林植物检疫</w:t>
            </w:r>
            <w:r>
              <w:rPr>
                <w:rFonts w:hint="eastAsia"/>
                <w:sz w:val="24"/>
                <w:szCs w:val="24"/>
              </w:rPr>
              <w:t>，</w:t>
            </w:r>
            <w:r>
              <w:rPr>
                <w:sz w:val="24"/>
                <w:szCs w:val="24"/>
              </w:rPr>
              <w:t>严防松材线虫等重大林业有害生物入侵。</w:t>
            </w:r>
          </w:p>
        </w:tc>
      </w:tr>
      <w:tr w14:paraId="756BD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trPr>
        <w:tc>
          <w:tcPr>
            <w:tcW w:w="5000" w:type="pct"/>
          </w:tcPr>
          <w:p w14:paraId="2122B06D">
            <w:pPr>
              <w:spacing w:before="0" w:after="0"/>
              <w:ind w:firstLine="0" w:firstLineChars="0"/>
              <w:jc w:val="left"/>
              <w:rPr>
                <w:rFonts w:hAnsi="Times New Roman"/>
                <w:b/>
                <w:bCs/>
                <w:kern w:val="0"/>
                <w:sz w:val="24"/>
                <w:szCs w:val="24"/>
                <w:lang w:bidi="ar"/>
              </w:rPr>
            </w:pPr>
            <w:r>
              <w:rPr>
                <w:rFonts w:hAnsi="Times New Roman"/>
                <w:b/>
                <w:bCs/>
                <w:kern w:val="0"/>
                <w:sz w:val="24"/>
                <w:szCs w:val="24"/>
                <w:lang w:bidi="ar"/>
              </w:rPr>
              <w:t>4.</w:t>
            </w:r>
            <w:r>
              <w:rPr>
                <w:rFonts w:hint="eastAsia" w:hAnsi="Times New Roman"/>
                <w:b/>
                <w:bCs/>
                <w:kern w:val="0"/>
                <w:sz w:val="24"/>
                <w:szCs w:val="24"/>
                <w:lang w:bidi="ar"/>
              </w:rPr>
              <w:t>南昌县渔业资源增殖放流项目</w:t>
            </w:r>
          </w:p>
          <w:p w14:paraId="5C0939BD">
            <w:pPr>
              <w:spacing w:before="0" w:after="0"/>
              <w:ind w:firstLine="0" w:firstLineChars="0"/>
              <w:rPr>
                <w:rFonts w:hAnsi="Times New Roman"/>
                <w:b/>
                <w:bCs/>
                <w:kern w:val="0"/>
                <w:sz w:val="24"/>
                <w:szCs w:val="24"/>
                <w:lang w:bidi="ar"/>
              </w:rPr>
            </w:pPr>
            <w:r>
              <w:rPr>
                <w:rFonts w:hint="eastAsia" w:hAnsi="Times New Roman"/>
                <w:b/>
                <w:bCs/>
                <w:kern w:val="0"/>
                <w:sz w:val="24"/>
                <w:szCs w:val="24"/>
                <w:lang w:bidi="ar"/>
              </w:rPr>
              <w:t>主要</w:t>
            </w:r>
            <w:r>
              <w:rPr>
                <w:rFonts w:hint="eastAsia"/>
                <w:b/>
                <w:bCs/>
                <w:sz w:val="24"/>
                <w:szCs w:val="24"/>
              </w:rPr>
              <w:t>任务：</w:t>
            </w:r>
            <w:r>
              <w:rPr>
                <w:rFonts w:hint="eastAsia"/>
                <w:sz w:val="24"/>
                <w:szCs w:val="24"/>
              </w:rPr>
              <w:t>在澄碧湖、雁沙湖、雄溪河等流域开展鱼苗生态增殖放流活动，保护湖水的水生动植物资源自然繁殖发展，控制水中水藻的数量，避免水体缺氧、富营养化，形成“以水养鱼、以鱼洁水”的原生态洁水模式，进一步改善和提高城区内湖与赣江抚河水环境质量，进而改善江豚等珍稀水生动物索饵环境。</w:t>
            </w:r>
          </w:p>
        </w:tc>
      </w:tr>
      <w:tr w14:paraId="1280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5000" w:type="pct"/>
          </w:tcPr>
          <w:p w14:paraId="53EFF96F">
            <w:pPr>
              <w:spacing w:before="0" w:after="0"/>
              <w:ind w:firstLine="0" w:firstLineChars="0"/>
              <w:jc w:val="left"/>
              <w:rPr>
                <w:rFonts w:hAnsi="Times New Roman"/>
                <w:b/>
                <w:bCs/>
                <w:kern w:val="0"/>
                <w:sz w:val="24"/>
                <w:szCs w:val="24"/>
                <w:lang w:bidi="ar"/>
              </w:rPr>
            </w:pPr>
            <w:r>
              <w:rPr>
                <w:rFonts w:hAnsi="Times New Roman"/>
                <w:b/>
                <w:bCs/>
                <w:kern w:val="0"/>
                <w:sz w:val="24"/>
                <w:szCs w:val="24"/>
                <w:lang w:bidi="ar"/>
              </w:rPr>
              <w:t>5.</w:t>
            </w:r>
            <w:r>
              <w:rPr>
                <w:rFonts w:hint="eastAsia" w:hAnsi="Times New Roman"/>
                <w:b/>
                <w:bCs/>
                <w:kern w:val="0"/>
                <w:sz w:val="24"/>
                <w:szCs w:val="24"/>
                <w:lang w:bidi="ar"/>
              </w:rPr>
              <w:t>外来物种入侵防治项目</w:t>
            </w:r>
          </w:p>
          <w:p w14:paraId="3C0F7555">
            <w:pPr>
              <w:spacing w:before="0" w:after="0"/>
              <w:ind w:firstLine="0" w:firstLineChars="0"/>
              <w:rPr>
                <w:rFonts w:hAnsi="Times New Roman"/>
                <w:b/>
                <w:bCs/>
                <w:kern w:val="0"/>
                <w:sz w:val="24"/>
                <w:szCs w:val="24"/>
                <w:lang w:bidi="ar"/>
              </w:rPr>
            </w:pPr>
            <w:r>
              <w:rPr>
                <w:rFonts w:hint="eastAsia" w:hAnsi="Times New Roman"/>
                <w:b/>
                <w:bCs/>
                <w:kern w:val="0"/>
                <w:sz w:val="24"/>
                <w:szCs w:val="24"/>
                <w:lang w:bidi="ar"/>
              </w:rPr>
              <w:t>主要</w:t>
            </w:r>
            <w:r>
              <w:rPr>
                <w:rFonts w:hint="eastAsia"/>
                <w:b/>
                <w:bCs/>
                <w:sz w:val="24"/>
                <w:szCs w:val="24"/>
              </w:rPr>
              <w:t>任务：</w:t>
            </w:r>
            <w:r>
              <w:rPr>
                <w:rFonts w:hint="eastAsia"/>
                <w:sz w:val="24"/>
                <w:szCs w:val="24"/>
              </w:rPr>
              <w:t>开展外来入侵物种普查与生态影响评价，以农作物重大病虫、林草外来有害生物为重点，布设监测站点，组织开展常态化监测。加大生物监管和有害入侵生物的治理力度，对重点区域开展外来入侵物种阻截带建设，采取人工清除和生物防控等治理措施，重点防控凤眼莲、小蓬草、美国白蛾、加拿大一枝黄花、福寿螺等入侵物种，并发布受威胁动植物和外来入侵物种名录。</w:t>
            </w:r>
          </w:p>
        </w:tc>
      </w:tr>
    </w:tbl>
    <w:p w14:paraId="6D1520A1">
      <w:pPr>
        <w:spacing w:before="260" w:after="260" w:line="560" w:lineRule="exact"/>
        <w:ind w:firstLine="0" w:firstLineChars="0"/>
        <w:jc w:val="center"/>
        <w:outlineLvl w:val="1"/>
        <w:rPr>
          <w:rFonts w:ascii="黑体" w:hAnsi="黑体" w:eastAsia="黑体" w:cs="仿宋"/>
          <w:b/>
          <w:bCs/>
          <w:sz w:val="32"/>
          <w:szCs w:val="32"/>
        </w:rPr>
      </w:pPr>
      <w:bookmarkStart w:id="184" w:name="_Toc131005122"/>
      <w:r>
        <w:rPr>
          <w:rFonts w:hint="eastAsia" w:ascii="黑体" w:hAnsi="黑体" w:eastAsia="黑体" w:cs="仿宋"/>
          <w:b/>
          <w:bCs/>
          <w:sz w:val="32"/>
          <w:szCs w:val="32"/>
        </w:rPr>
        <w:t>第三节</w:t>
      </w:r>
      <w:bookmarkStart w:id="185" w:name="_Hlk80102779"/>
      <w:bookmarkStart w:id="186" w:name="_Hlk80101609"/>
      <w:r>
        <w:rPr>
          <w:rFonts w:ascii="黑体" w:hAnsi="黑体" w:eastAsia="黑体" w:cs="仿宋"/>
          <w:b/>
          <w:bCs/>
          <w:sz w:val="32"/>
          <w:szCs w:val="32"/>
        </w:rPr>
        <w:t xml:space="preserve"> </w:t>
      </w:r>
      <w:bookmarkEnd w:id="181"/>
      <w:bookmarkEnd w:id="182"/>
      <w:bookmarkEnd w:id="183"/>
      <w:bookmarkEnd w:id="185"/>
      <w:r>
        <w:rPr>
          <w:rFonts w:hint="eastAsia" w:ascii="黑体" w:hAnsi="黑体" w:eastAsia="黑体" w:cs="仿宋"/>
          <w:b/>
          <w:bCs/>
          <w:sz w:val="32"/>
          <w:szCs w:val="32"/>
        </w:rPr>
        <w:t>水环境综合整治与水系连通工程</w:t>
      </w:r>
      <w:bookmarkEnd w:id="184"/>
    </w:p>
    <w:bookmarkEnd w:id="186"/>
    <w:p w14:paraId="20F612A9">
      <w:pPr>
        <w:spacing w:before="0" w:after="0"/>
        <w:ind w:firstLine="560"/>
      </w:pPr>
      <w:r>
        <w:rPr>
          <w:rFonts w:hint="eastAsia"/>
        </w:rPr>
        <w:t>工程共包含抚河下游尾闾综合整治及河湖水系连通项目、象湖片区水系连通活化项目、雄溪河综合治理及景观提升项目、莲塘河水环境综合整治项目、象湖及抚河故道生态修复项目、南昌县幽兰镇落城湖水生态修复项目、南昌县农村水系综合整治项目、南昌县水土流失综合治理项目、南昌县集中式饮用水水源地达标建设项目共</w:t>
      </w:r>
      <w:r>
        <w:t>9</w:t>
      </w:r>
      <w:r>
        <w:rPr>
          <w:rFonts w:hint="eastAsia"/>
        </w:rPr>
        <w:t>个重点项目，将重点开展水环境综合整治，推进水系连通治理，以</w:t>
      </w:r>
      <w:r>
        <w:t>形成良好水生态环境</w:t>
      </w:r>
      <w:r>
        <w:rPr>
          <w:rFonts w:hint="eastAsia"/>
        </w:rPr>
        <w:t>，同时加强饮用水水源地保护和水土流失防治，以</w:t>
      </w:r>
      <w:r>
        <w:t>全面提升流域水环境总体质量</w:t>
      </w:r>
      <w:r>
        <w:rPr>
          <w:rFonts w:hint="eastAsia"/>
        </w:rPr>
        <w:t>，</w:t>
      </w:r>
      <w:r>
        <w:t>营造岸绿景美的生态河湖景观。</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A9D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vAlign w:val="center"/>
          </w:tcPr>
          <w:p w14:paraId="05306B46">
            <w:pPr>
              <w:spacing w:before="0" w:after="0" w:line="240" w:lineRule="auto"/>
              <w:ind w:firstLine="0" w:firstLineChars="0"/>
              <w:jc w:val="center"/>
              <w:rPr>
                <w:rFonts w:hAnsi="Times New Roman"/>
                <w:b/>
                <w:bCs/>
                <w:kern w:val="0"/>
                <w:sz w:val="24"/>
                <w:szCs w:val="24"/>
                <w:lang w:bidi="ar"/>
              </w:rPr>
            </w:pPr>
            <w:bookmarkStart w:id="187" w:name="_Toc78481228"/>
            <w:bookmarkStart w:id="188" w:name="_Toc76497688"/>
            <w:bookmarkStart w:id="189" w:name="_Toc86257454"/>
            <w:r>
              <w:rPr>
                <w:rFonts w:hint="eastAsia" w:hAnsi="Times New Roman"/>
                <w:b/>
                <w:bCs/>
                <w:kern w:val="0"/>
                <w:sz w:val="24"/>
                <w:szCs w:val="24"/>
                <w:lang w:bidi="ar"/>
              </w:rPr>
              <w:t>专栏</w:t>
            </w:r>
            <w:r>
              <w:rPr>
                <w:rFonts w:hAnsi="Times New Roman"/>
                <w:b/>
                <w:bCs/>
                <w:kern w:val="0"/>
                <w:sz w:val="24"/>
                <w:szCs w:val="24"/>
                <w:lang w:bidi="ar"/>
              </w:rPr>
              <w:t xml:space="preserve">5-3  </w:t>
            </w:r>
            <w:r>
              <w:rPr>
                <w:rFonts w:hint="eastAsia" w:hAnsi="Times New Roman"/>
                <w:b/>
                <w:bCs/>
                <w:kern w:val="0"/>
                <w:sz w:val="24"/>
                <w:szCs w:val="24"/>
                <w:lang w:bidi="ar"/>
              </w:rPr>
              <w:t>水环境综合整治与水系连通工程</w:t>
            </w:r>
          </w:p>
        </w:tc>
      </w:tr>
      <w:tr w14:paraId="065D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3" w:hRule="atLeast"/>
        </w:trPr>
        <w:tc>
          <w:tcPr>
            <w:tcW w:w="5000" w:type="pct"/>
          </w:tcPr>
          <w:p w14:paraId="256ECE9C">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1.抚河下游尾闾综合整治及河湖水系连通项目</w:t>
            </w:r>
          </w:p>
          <w:p w14:paraId="03FFDCE1">
            <w:pPr>
              <w:spacing w:before="0" w:after="0"/>
              <w:ind w:firstLine="0" w:firstLineChars="0"/>
              <w:rPr>
                <w:sz w:val="24"/>
                <w:szCs w:val="24"/>
              </w:rPr>
            </w:pPr>
            <w:r>
              <w:rPr>
                <w:rFonts w:hint="eastAsia" w:hAnsi="Times New Roman"/>
                <w:b/>
                <w:bCs/>
                <w:kern w:val="0"/>
                <w:sz w:val="24"/>
                <w:szCs w:val="24"/>
                <w:lang w:bidi="ar"/>
              </w:rPr>
              <w:t>主要</w:t>
            </w:r>
            <w:r>
              <w:rPr>
                <w:rFonts w:hint="eastAsia"/>
                <w:b/>
                <w:bCs/>
                <w:sz w:val="24"/>
                <w:szCs w:val="24"/>
              </w:rPr>
              <w:t>任务：</w:t>
            </w:r>
            <w:r>
              <w:rPr>
                <w:rFonts w:hint="eastAsia"/>
                <w:sz w:val="24"/>
                <w:szCs w:val="24"/>
              </w:rPr>
              <w:t>重点对赣江抚河下游尾闾地区开展水环境综合整治，实施清淤疏浚、岸坡整治、水系连通等工程，共计联通水系</w:t>
            </w:r>
            <w:r>
              <w:rPr>
                <w:sz w:val="24"/>
                <w:szCs w:val="24"/>
              </w:rPr>
              <w:t>151km</w:t>
            </w:r>
            <w:r>
              <w:rPr>
                <w:rFonts w:hint="eastAsia"/>
                <w:sz w:val="24"/>
                <w:szCs w:val="24"/>
              </w:rPr>
              <w:t>，</w:t>
            </w:r>
            <w:r>
              <w:rPr>
                <w:sz w:val="24"/>
                <w:szCs w:val="24"/>
              </w:rPr>
              <w:t>建设生态岸线9.32km</w:t>
            </w:r>
            <w:r>
              <w:rPr>
                <w:rFonts w:hint="eastAsia"/>
                <w:sz w:val="24"/>
                <w:szCs w:val="24"/>
              </w:rPr>
              <w:t>，</w:t>
            </w:r>
            <w:r>
              <w:rPr>
                <w:sz w:val="24"/>
                <w:szCs w:val="24"/>
              </w:rPr>
              <w:t>河道整治192.9km</w:t>
            </w:r>
            <w:r>
              <w:rPr>
                <w:rFonts w:hint="eastAsia"/>
                <w:sz w:val="24"/>
                <w:szCs w:val="24"/>
              </w:rPr>
              <w:t>。通过</w:t>
            </w:r>
            <w:r>
              <w:rPr>
                <w:sz w:val="24"/>
                <w:szCs w:val="24"/>
              </w:rPr>
              <w:t>建设生态护坡、治理入侵物种、修复河道</w:t>
            </w:r>
            <w:r>
              <w:rPr>
                <w:rFonts w:hint="eastAsia"/>
                <w:sz w:val="24"/>
                <w:szCs w:val="24"/>
              </w:rPr>
              <w:t>等措施</w:t>
            </w:r>
            <w:r>
              <w:rPr>
                <w:sz w:val="24"/>
                <w:szCs w:val="24"/>
              </w:rPr>
              <w:t>，提升水</w:t>
            </w:r>
            <w:r>
              <w:rPr>
                <w:rFonts w:hint="eastAsia"/>
                <w:sz w:val="24"/>
                <w:szCs w:val="24"/>
              </w:rPr>
              <w:t>生态</w:t>
            </w:r>
            <w:r>
              <w:rPr>
                <w:sz w:val="24"/>
                <w:szCs w:val="24"/>
              </w:rPr>
              <w:t>环境质量。</w:t>
            </w:r>
          </w:p>
        </w:tc>
      </w:tr>
      <w:tr w14:paraId="318CE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5000" w:type="pct"/>
          </w:tcPr>
          <w:p w14:paraId="5B478A03">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2.象湖片区水系连通活化项目</w:t>
            </w:r>
          </w:p>
          <w:p w14:paraId="5AF04CDF">
            <w:pPr>
              <w:spacing w:before="0" w:after="0"/>
              <w:ind w:firstLine="0" w:firstLineChars="0"/>
              <w:rPr>
                <w:rFonts w:ascii="Times New Roman" w:hAnsi="Times New Roman" w:eastAsia="仿宋"/>
                <w:b/>
                <w:bCs/>
                <w:kern w:val="0"/>
                <w:sz w:val="24"/>
                <w:szCs w:val="24"/>
                <w:lang w:bidi="ar"/>
              </w:rPr>
            </w:pPr>
            <w:r>
              <w:rPr>
                <w:rFonts w:hint="eastAsia" w:hAnsi="Times New Roman"/>
                <w:b/>
                <w:bCs/>
                <w:kern w:val="0"/>
                <w:sz w:val="24"/>
                <w:szCs w:val="24"/>
                <w:lang w:bidi="ar"/>
              </w:rPr>
              <w:t>主要</w:t>
            </w:r>
            <w:r>
              <w:rPr>
                <w:rFonts w:hint="eastAsia"/>
                <w:b/>
                <w:bCs/>
                <w:sz w:val="24"/>
                <w:szCs w:val="24"/>
              </w:rPr>
              <w:t>任务：</w:t>
            </w:r>
            <w:r>
              <w:rPr>
                <w:rFonts w:hint="eastAsia" w:hAnsi="Times New Roman"/>
                <w:kern w:val="0"/>
                <w:sz w:val="24"/>
                <w:szCs w:val="24"/>
                <w:lang w:bidi="ar"/>
              </w:rPr>
              <w:t>在象湖地区北部，莲塘河以北、城南护城河以南、赣江与雄溪河之间区域先期建设水系连通活化工程。以赣江作为主要水源</w:t>
            </w:r>
            <w:r>
              <w:rPr>
                <w:rFonts w:hAnsi="Times New Roman"/>
                <w:kern w:val="0"/>
                <w:sz w:val="24"/>
                <w:szCs w:val="24"/>
                <w:lang w:bidi="ar"/>
              </w:rPr>
              <w:t>,以抚河及三干渠作为水系连通通道及第二水源,利用河渠、闸站和管道等将河、湖、渠等自然水系彼此相连、相互贯通。新建中心渠2.1km（河洲路渠～抚支故道），连通至抚支故道，实施金湖、玉湖连通工程，新建水系连通0.95km。</w:t>
            </w:r>
          </w:p>
        </w:tc>
      </w:tr>
      <w:tr w14:paraId="3C59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trPr>
        <w:tc>
          <w:tcPr>
            <w:tcW w:w="5000" w:type="pct"/>
          </w:tcPr>
          <w:p w14:paraId="1C439295">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3</w:t>
            </w:r>
            <w:r>
              <w:rPr>
                <w:rFonts w:hint="eastAsia" w:hAnsi="Times New Roman"/>
                <w:b/>
                <w:bCs/>
                <w:kern w:val="0"/>
                <w:sz w:val="24"/>
                <w:szCs w:val="24"/>
                <w:lang w:bidi="ar"/>
              </w:rPr>
              <w:t>.雄溪河综合治理及景观提升项目</w:t>
            </w:r>
          </w:p>
          <w:p w14:paraId="1D7C8703">
            <w:pPr>
              <w:spacing w:before="0" w:after="0"/>
              <w:ind w:firstLine="0" w:firstLineChars="0"/>
              <w:jc w:val="left"/>
              <w:rPr>
                <w:rFonts w:hAnsi="Times New Roman"/>
                <w:b/>
                <w:bCs/>
                <w:kern w:val="0"/>
                <w:sz w:val="24"/>
                <w:szCs w:val="24"/>
                <w:lang w:bidi="ar"/>
              </w:rPr>
            </w:pPr>
            <w:r>
              <w:rPr>
                <w:rFonts w:hint="eastAsia" w:hAnsi="Times New Roman"/>
                <w:b/>
                <w:bCs/>
                <w:kern w:val="0"/>
                <w:sz w:val="24"/>
                <w:szCs w:val="24"/>
                <w:lang w:bidi="ar"/>
              </w:rPr>
              <w:t>主要</w:t>
            </w:r>
            <w:r>
              <w:rPr>
                <w:rFonts w:hint="eastAsia"/>
                <w:b/>
                <w:bCs/>
                <w:sz w:val="24"/>
                <w:szCs w:val="24"/>
              </w:rPr>
              <w:t>任务：</w:t>
            </w:r>
            <w:r>
              <w:rPr>
                <w:rFonts w:hint="eastAsia" w:hAnsi="Times New Roman"/>
                <w:kern w:val="0"/>
                <w:sz w:val="24"/>
                <w:szCs w:val="24"/>
                <w:lang w:bidi="ar"/>
              </w:rPr>
              <w:t>通过截污、清淤、生物修复、生态护坡、生态缓冲带等工程措施，实现雄溪河的全面治理。以东莲路为界，分别在象湖新城、小蓝经济开发区雄溪河两岸实施截污工程，敷设截污干管，集中处理污水，封堵原雄溪河排污口，在全线完成截污整治工程的基础上，实施雄溪河清淤。在汇仁大道至富山大道的河段投加生物制剂，并在象湖新城（居住主题公园）及江西新龙化纤股份有限公司附近设置人工湿地，加强生物修复。对雄溪河河堤全线进行护坡处理，在岸线及水面配置不同功能的植物群落，沿河岸周边</w:t>
            </w:r>
            <w:r>
              <w:rPr>
                <w:rFonts w:hAnsi="Times New Roman"/>
                <w:kern w:val="0"/>
                <w:sz w:val="24"/>
                <w:szCs w:val="24"/>
                <w:lang w:bidi="ar"/>
              </w:rPr>
              <w:t>15m建设生态缓冲带。雄溪河综合治理工程实施后，要加强流域范围内重</w:t>
            </w:r>
            <w:r>
              <w:rPr>
                <w:rFonts w:hint="eastAsia" w:hAnsi="Times New Roman"/>
                <w:kern w:val="0"/>
                <w:sz w:val="24"/>
                <w:szCs w:val="24"/>
                <w:lang w:bidi="ar"/>
              </w:rPr>
              <w:t>点工业企业的环境监督，建立长效管理机制，持久开展整治违法排污企业的环保专项行动。</w:t>
            </w:r>
          </w:p>
        </w:tc>
      </w:tr>
      <w:tr w14:paraId="12AB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5000" w:type="pct"/>
          </w:tcPr>
          <w:p w14:paraId="71F03A8F">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4</w:t>
            </w:r>
            <w:r>
              <w:rPr>
                <w:rFonts w:hint="eastAsia" w:hAnsi="Times New Roman"/>
                <w:b/>
                <w:bCs/>
                <w:kern w:val="0"/>
                <w:sz w:val="24"/>
                <w:szCs w:val="24"/>
                <w:lang w:bidi="ar"/>
              </w:rPr>
              <w:t>.莲塘河水环境综合整治项目</w:t>
            </w:r>
          </w:p>
          <w:p w14:paraId="1F1FDA22">
            <w:pPr>
              <w:spacing w:before="0" w:after="0"/>
              <w:ind w:firstLine="0" w:firstLineChars="0"/>
              <w:rPr>
                <w:rFonts w:hAnsi="Times New Roman"/>
                <w:b/>
                <w:bCs/>
                <w:kern w:val="0"/>
                <w:sz w:val="24"/>
                <w:szCs w:val="24"/>
                <w:lang w:bidi="ar"/>
              </w:rPr>
            </w:pPr>
            <w:r>
              <w:rPr>
                <w:rFonts w:hint="eastAsia" w:hAnsi="Times New Roman"/>
                <w:b/>
                <w:bCs/>
                <w:kern w:val="0"/>
                <w:sz w:val="24"/>
                <w:szCs w:val="24"/>
                <w:lang w:bidi="ar"/>
              </w:rPr>
              <w:t>主要</w:t>
            </w:r>
            <w:r>
              <w:rPr>
                <w:rFonts w:hint="eastAsia"/>
                <w:b/>
                <w:bCs/>
                <w:sz w:val="24"/>
                <w:szCs w:val="24"/>
              </w:rPr>
              <w:t>任务：</w:t>
            </w:r>
            <w:r>
              <w:rPr>
                <w:rFonts w:hint="eastAsia" w:hAnsi="Times New Roman"/>
                <w:kern w:val="0"/>
                <w:sz w:val="24"/>
                <w:szCs w:val="24"/>
                <w:lang w:bidi="ar"/>
              </w:rPr>
              <w:t>对莲塘河（</w:t>
            </w:r>
            <w:r>
              <w:rPr>
                <w:rFonts w:hAnsi="Times New Roman"/>
                <w:kern w:val="0"/>
                <w:sz w:val="24"/>
                <w:szCs w:val="24"/>
                <w:lang w:bidi="ar"/>
              </w:rPr>
              <w:t>2.6公里）沿线实施绿化景观提升改造、截污及清淤、道路改造、桥梁装饰、沿河建筑立面改造等工程，构建莲塘河全新景观带。</w:t>
            </w:r>
          </w:p>
        </w:tc>
      </w:tr>
      <w:tr w14:paraId="354E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trPr>
        <w:tc>
          <w:tcPr>
            <w:tcW w:w="5000" w:type="pct"/>
          </w:tcPr>
          <w:p w14:paraId="27FDE662">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5</w:t>
            </w:r>
            <w:r>
              <w:rPr>
                <w:rFonts w:hint="eastAsia" w:hAnsi="Times New Roman"/>
                <w:b/>
                <w:bCs/>
                <w:kern w:val="0"/>
                <w:sz w:val="24"/>
                <w:szCs w:val="24"/>
                <w:lang w:bidi="ar"/>
              </w:rPr>
              <w:t>.象湖及抚河故道生态修复项目</w:t>
            </w:r>
          </w:p>
          <w:p w14:paraId="7A2EC067">
            <w:pPr>
              <w:spacing w:before="0" w:after="0"/>
              <w:ind w:firstLine="0" w:firstLineChars="0"/>
              <w:rPr>
                <w:rFonts w:hAnsi="Times New Roman"/>
                <w:b/>
                <w:bCs/>
                <w:kern w:val="0"/>
                <w:sz w:val="24"/>
                <w:szCs w:val="24"/>
                <w:lang w:bidi="ar"/>
              </w:rPr>
            </w:pPr>
            <w:r>
              <w:rPr>
                <w:rFonts w:hint="eastAsia" w:hAnsi="Times New Roman"/>
                <w:b/>
                <w:bCs/>
                <w:kern w:val="0"/>
                <w:sz w:val="24"/>
                <w:szCs w:val="24"/>
                <w:lang w:bidi="ar"/>
              </w:rPr>
              <w:t>主要</w:t>
            </w:r>
            <w:r>
              <w:rPr>
                <w:rFonts w:hint="eastAsia"/>
                <w:b/>
                <w:bCs/>
                <w:sz w:val="24"/>
                <w:szCs w:val="24"/>
              </w:rPr>
              <w:t>任务：</w:t>
            </w:r>
            <w:r>
              <w:rPr>
                <w:rFonts w:hint="eastAsia" w:hAnsi="Times New Roman"/>
                <w:kern w:val="0"/>
                <w:sz w:val="24"/>
                <w:szCs w:val="24"/>
                <w:lang w:bidi="ar"/>
              </w:rPr>
              <w:t>采取清理整治、堤岸修复、植被修补、蓄水透水、水源保护五项措施，对象湖及抚河故道水体进行内源治理，将威胁水安全的码头、搅拌站、砂场彻底清除，并充分利用沿江滩涂、防洪堤等现状用地，结合地形地貌改造成滨水生态公园，形成集旅游休闲、生态文化于一体的“公园式自然走廊”，实现水质提升和水生态系统修复。</w:t>
            </w:r>
          </w:p>
        </w:tc>
      </w:tr>
      <w:tr w14:paraId="28FA8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5000" w:type="pct"/>
          </w:tcPr>
          <w:p w14:paraId="5D889503">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6</w:t>
            </w:r>
            <w:r>
              <w:rPr>
                <w:rFonts w:hint="eastAsia" w:hAnsi="Times New Roman"/>
                <w:b/>
                <w:bCs/>
                <w:kern w:val="0"/>
                <w:sz w:val="24"/>
                <w:szCs w:val="24"/>
                <w:lang w:bidi="ar"/>
              </w:rPr>
              <w:t>.南昌县幽兰镇落城湖水生态修复项目</w:t>
            </w:r>
          </w:p>
          <w:p w14:paraId="06D0DA84">
            <w:pPr>
              <w:spacing w:before="0" w:after="0"/>
              <w:ind w:firstLine="0" w:firstLineChars="0"/>
              <w:rPr>
                <w:rFonts w:hAnsi="Times New Roman"/>
                <w:b/>
                <w:bCs/>
                <w:kern w:val="0"/>
                <w:sz w:val="24"/>
                <w:szCs w:val="24"/>
                <w:lang w:bidi="ar"/>
              </w:rPr>
            </w:pPr>
            <w:r>
              <w:rPr>
                <w:rFonts w:hint="eastAsia" w:hAnsi="Times New Roman"/>
                <w:b/>
                <w:bCs/>
                <w:kern w:val="0"/>
                <w:sz w:val="24"/>
                <w:szCs w:val="24"/>
                <w:lang w:bidi="ar"/>
              </w:rPr>
              <w:t>主要</w:t>
            </w:r>
            <w:r>
              <w:rPr>
                <w:rFonts w:hint="eastAsia"/>
                <w:b/>
                <w:bCs/>
                <w:sz w:val="24"/>
                <w:szCs w:val="24"/>
              </w:rPr>
              <w:t>任务：</w:t>
            </w:r>
            <w:r>
              <w:rPr>
                <w:rFonts w:hint="eastAsia" w:hAnsi="Times New Roman"/>
                <w:kern w:val="0"/>
                <w:sz w:val="24"/>
                <w:szCs w:val="24"/>
                <w:lang w:bidi="ar"/>
              </w:rPr>
              <w:t>对落城湖约</w:t>
            </w:r>
            <w:r>
              <w:rPr>
                <w:rFonts w:hAnsi="Times New Roman"/>
                <w:kern w:val="0"/>
                <w:sz w:val="24"/>
                <w:szCs w:val="24"/>
                <w:lang w:bidi="ar"/>
              </w:rPr>
              <w:t>1200亩水面、周边岸线腹地约200-300米左右，开展清淤、截污、生态修复。实施入库污染负荷调查和评估，利用生态工程技术，最大限度地截除外源污染，构建健康水生态系统，提高水体自净能力，建立落城湖水质管理和生态保育体系。</w:t>
            </w:r>
          </w:p>
        </w:tc>
      </w:tr>
      <w:tr w14:paraId="0CAD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5" w:hRule="atLeast"/>
        </w:trPr>
        <w:tc>
          <w:tcPr>
            <w:tcW w:w="5000" w:type="pct"/>
          </w:tcPr>
          <w:p w14:paraId="5154617F">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7</w:t>
            </w:r>
            <w:r>
              <w:rPr>
                <w:rFonts w:hint="eastAsia" w:hAnsi="Times New Roman"/>
                <w:b/>
                <w:bCs/>
                <w:kern w:val="0"/>
                <w:sz w:val="24"/>
                <w:szCs w:val="24"/>
                <w:lang w:bidi="ar"/>
              </w:rPr>
              <w:t>.南昌县农村水系综合整治项目</w:t>
            </w:r>
          </w:p>
          <w:p w14:paraId="308BC02E">
            <w:pPr>
              <w:spacing w:before="0" w:after="0"/>
              <w:ind w:firstLine="0" w:firstLineChars="0"/>
              <w:rPr>
                <w:rFonts w:hAnsi="Times New Roman"/>
                <w:b/>
                <w:bCs/>
                <w:kern w:val="0"/>
                <w:sz w:val="24"/>
                <w:szCs w:val="24"/>
                <w:lang w:bidi="ar"/>
              </w:rPr>
            </w:pPr>
            <w:r>
              <w:rPr>
                <w:rFonts w:hint="eastAsia" w:hAnsi="Times New Roman"/>
                <w:b/>
                <w:bCs/>
                <w:kern w:val="0"/>
                <w:sz w:val="24"/>
                <w:szCs w:val="24"/>
                <w:lang w:bidi="ar"/>
              </w:rPr>
              <w:t>主要</w:t>
            </w:r>
            <w:r>
              <w:rPr>
                <w:rFonts w:hint="eastAsia"/>
                <w:b/>
                <w:bCs/>
                <w:sz w:val="24"/>
                <w:szCs w:val="24"/>
              </w:rPr>
              <w:t>任务：</w:t>
            </w:r>
            <w:r>
              <w:rPr>
                <w:rFonts w:hint="eastAsia" w:hAnsi="Times New Roman"/>
                <w:kern w:val="0"/>
                <w:sz w:val="24"/>
                <w:szCs w:val="24"/>
                <w:lang w:bidi="ar"/>
              </w:rPr>
              <w:t>对全县农村中小河流开展综合治理及景观提升，消除南昌县杨树村、文埠村等农村黑臭水体，治理流域面积</w:t>
            </w:r>
            <w:r>
              <w:rPr>
                <w:rFonts w:hAnsi="Times New Roman"/>
                <w:kern w:val="0"/>
                <w:sz w:val="24"/>
                <w:szCs w:val="24"/>
                <w:lang w:bidi="ar"/>
              </w:rPr>
              <w:t>200km</w:t>
            </w:r>
            <w:r>
              <w:rPr>
                <w:rFonts w:hint="cs" w:hAnsi="Times New Roman"/>
                <w:kern w:val="0"/>
                <w:sz w:val="24"/>
                <w:szCs w:val="24"/>
                <w:lang w:bidi="ar"/>
              </w:rPr>
              <w:t>²</w:t>
            </w:r>
            <w:r>
              <w:rPr>
                <w:rFonts w:hint="eastAsia" w:hAnsi="Times New Roman"/>
                <w:kern w:val="0"/>
                <w:sz w:val="24"/>
                <w:szCs w:val="24"/>
                <w:lang w:bidi="ar"/>
              </w:rPr>
              <w:t>以下河流，治理区涉及乡镇</w:t>
            </w:r>
            <w:r>
              <w:rPr>
                <w:rFonts w:hAnsi="Times New Roman"/>
                <w:kern w:val="0"/>
                <w:sz w:val="24"/>
                <w:szCs w:val="24"/>
                <w:lang w:bidi="ar"/>
              </w:rPr>
              <w:t>19个，共计治理河道665km。加强农村水系连通，整治清丰山左堤涝区、三江联圩涝区、中洲联圩涝区、棠墅友谊涝区、南新联圩涝区、长乐联圩涝区等6处涝区。</w:t>
            </w:r>
          </w:p>
        </w:tc>
      </w:tr>
      <w:tr w14:paraId="4DF6F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8" w:hRule="atLeast"/>
        </w:trPr>
        <w:tc>
          <w:tcPr>
            <w:tcW w:w="5000" w:type="pct"/>
          </w:tcPr>
          <w:p w14:paraId="118E284C">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8</w:t>
            </w:r>
            <w:r>
              <w:rPr>
                <w:rFonts w:hint="eastAsia" w:hAnsi="Times New Roman"/>
                <w:b/>
                <w:bCs/>
                <w:kern w:val="0"/>
                <w:sz w:val="24"/>
                <w:szCs w:val="24"/>
                <w:lang w:bidi="ar"/>
              </w:rPr>
              <w:t>.南昌县水土流失综合治理项目</w:t>
            </w:r>
          </w:p>
          <w:p w14:paraId="3FD99FA0">
            <w:pPr>
              <w:spacing w:before="0" w:after="0"/>
              <w:ind w:firstLine="0" w:firstLineChars="0"/>
              <w:jc w:val="left"/>
              <w:rPr>
                <w:rFonts w:hAnsi="Times New Roman"/>
                <w:b/>
                <w:bCs/>
                <w:kern w:val="0"/>
                <w:sz w:val="24"/>
                <w:szCs w:val="24"/>
                <w:lang w:bidi="ar"/>
              </w:rPr>
            </w:pPr>
            <w:r>
              <w:rPr>
                <w:rFonts w:hint="eastAsia" w:hAnsi="Times New Roman"/>
                <w:b/>
                <w:bCs/>
                <w:kern w:val="0"/>
                <w:sz w:val="24"/>
                <w:szCs w:val="24"/>
                <w:lang w:bidi="ar"/>
              </w:rPr>
              <w:t>主要</w:t>
            </w:r>
            <w:r>
              <w:rPr>
                <w:rFonts w:hint="eastAsia"/>
                <w:b/>
                <w:bCs/>
                <w:sz w:val="24"/>
                <w:szCs w:val="24"/>
              </w:rPr>
              <w:t>任务：</w:t>
            </w:r>
            <w:r>
              <w:rPr>
                <w:rFonts w:hint="eastAsia" w:hAnsi="Times New Roman"/>
                <w:kern w:val="0"/>
                <w:sz w:val="24"/>
                <w:szCs w:val="24"/>
                <w:lang w:bidi="ar"/>
              </w:rPr>
              <w:t>增强森林涵养水源、保持水土的生态功能，对重要生态功能区、生态敏感区、森林公园、自然保护区和水土流失治理区的疏林、幼林、灌木林实施封禁治理，发挥生态自我修复的能力。针对林分结构单一的部分林地，依照水土保持林和水源涵养林的建设要求，采取针叶林补植阔叶树种，疏林地补植补造、竹林改造等措施，改善林分状况，提高森林质量。开展“四型”生态小流域和沙地治理，综合治理水土流失面积</w:t>
            </w:r>
            <w:r>
              <w:rPr>
                <w:rFonts w:hAnsi="Times New Roman"/>
                <w:kern w:val="0"/>
                <w:sz w:val="24"/>
                <w:szCs w:val="24"/>
                <w:lang w:bidi="ar"/>
              </w:rPr>
              <w:t>8km</w:t>
            </w:r>
            <w:r>
              <w:rPr>
                <w:rFonts w:hint="cs" w:hAnsi="Times New Roman"/>
                <w:kern w:val="0"/>
                <w:sz w:val="24"/>
                <w:szCs w:val="24"/>
                <w:lang w:bidi="ar"/>
              </w:rPr>
              <w:t>²</w:t>
            </w:r>
            <w:r>
              <w:rPr>
                <w:rFonts w:hint="eastAsia" w:hAnsi="Times New Roman"/>
                <w:kern w:val="0"/>
                <w:sz w:val="24"/>
                <w:szCs w:val="24"/>
                <w:lang w:bidi="ar"/>
              </w:rPr>
              <w:t>，预防保护水土流失面积</w:t>
            </w:r>
            <w:r>
              <w:rPr>
                <w:rFonts w:hAnsi="Times New Roman"/>
                <w:kern w:val="0"/>
                <w:sz w:val="24"/>
                <w:szCs w:val="24"/>
                <w:lang w:bidi="ar"/>
              </w:rPr>
              <w:t>79.66km</w:t>
            </w:r>
            <w:r>
              <w:rPr>
                <w:rFonts w:hint="cs" w:hAnsi="Times New Roman"/>
                <w:kern w:val="0"/>
                <w:sz w:val="24"/>
                <w:szCs w:val="24"/>
                <w:lang w:bidi="ar"/>
              </w:rPr>
              <w:t>²</w:t>
            </w:r>
            <w:r>
              <w:rPr>
                <w:rFonts w:hint="eastAsia" w:hAnsi="Times New Roman"/>
                <w:kern w:val="0"/>
                <w:sz w:val="24"/>
                <w:szCs w:val="24"/>
                <w:lang w:bidi="ar"/>
              </w:rPr>
              <w:t>。</w:t>
            </w:r>
          </w:p>
        </w:tc>
      </w:tr>
      <w:tr w14:paraId="40A3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4" w:hRule="atLeast"/>
        </w:trPr>
        <w:tc>
          <w:tcPr>
            <w:tcW w:w="5000" w:type="pct"/>
          </w:tcPr>
          <w:p w14:paraId="6FB668B9">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9</w:t>
            </w:r>
            <w:r>
              <w:rPr>
                <w:rFonts w:hint="eastAsia" w:hAnsi="Times New Roman"/>
                <w:b/>
                <w:bCs/>
                <w:kern w:val="0"/>
                <w:sz w:val="24"/>
                <w:szCs w:val="24"/>
                <w:lang w:bidi="ar"/>
              </w:rPr>
              <w:t>.南昌县集中式饮用水水源地达标建设项目</w:t>
            </w:r>
          </w:p>
          <w:p w14:paraId="54671E7B">
            <w:pPr>
              <w:spacing w:before="0" w:after="0"/>
              <w:ind w:firstLine="0" w:firstLineChars="0"/>
              <w:rPr>
                <w:rFonts w:hAnsi="Times New Roman"/>
                <w:b/>
                <w:bCs/>
                <w:kern w:val="0"/>
                <w:sz w:val="24"/>
                <w:szCs w:val="24"/>
                <w:lang w:bidi="ar"/>
              </w:rPr>
            </w:pPr>
            <w:r>
              <w:rPr>
                <w:rFonts w:hint="eastAsia" w:hAnsi="Times New Roman"/>
                <w:b/>
                <w:bCs/>
                <w:kern w:val="0"/>
                <w:sz w:val="24"/>
                <w:szCs w:val="24"/>
                <w:lang w:bidi="ar"/>
              </w:rPr>
              <w:t>主要</w:t>
            </w:r>
            <w:r>
              <w:rPr>
                <w:rFonts w:hint="eastAsia"/>
                <w:b/>
                <w:bCs/>
                <w:sz w:val="24"/>
                <w:szCs w:val="24"/>
              </w:rPr>
              <w:t>任务：</w:t>
            </w:r>
            <w:r>
              <w:rPr>
                <w:rFonts w:hint="eastAsia" w:hAnsi="Times New Roman"/>
                <w:kern w:val="0"/>
                <w:sz w:val="24"/>
                <w:szCs w:val="24"/>
                <w:lang w:bidi="ar"/>
              </w:rPr>
              <w:t>对赣江冈上镇长湖村河流型水源地、赣江中支南新乡黄渡村河流型水源地、赣江中支南新乡周家村河流型水源地保护区以及</w:t>
            </w:r>
            <w:r>
              <w:rPr>
                <w:rFonts w:hAnsi="Times New Roman"/>
                <w:kern w:val="0"/>
                <w:sz w:val="24"/>
                <w:szCs w:val="24"/>
                <w:lang w:bidi="ar"/>
              </w:rPr>
              <w:t>11个农村乡镇及以下集中式饮用水源保护区实施生态保护项目，在一级保护区的河道沿线建立隔离栅栏，实现全河段封闭管理，禁止钓鱼、游泳、洗衣、洗菜等与水源保护无关的人为活动干扰，对原住民产生的生活污水进行截污、收集引至保护区外处理后达标外排。加强对上游采砂活动的监管，加强日常水质监测，对饮用水水源地每个季度开展常规指标水质监测，每两年在取水口开展一次全指标水质监测分析。设置多样化植被隔离带和缓冲带,减少湖库</w:t>
            </w:r>
            <w:r>
              <w:rPr>
                <w:rFonts w:hint="eastAsia" w:hAnsi="Times New Roman"/>
                <w:kern w:val="0"/>
                <w:sz w:val="24"/>
                <w:szCs w:val="24"/>
                <w:lang w:bidi="ar"/>
              </w:rPr>
              <w:t>周围的水土流失</w:t>
            </w:r>
            <w:r>
              <w:rPr>
                <w:rFonts w:hAnsi="Times New Roman"/>
                <w:kern w:val="0"/>
                <w:sz w:val="24"/>
                <w:szCs w:val="24"/>
                <w:lang w:bidi="ar"/>
              </w:rPr>
              <w:t>,种植适宜的水生植物、放养合适的水生动物,完善湖库内生态系统结构。</w:t>
            </w:r>
          </w:p>
        </w:tc>
      </w:tr>
    </w:tbl>
    <w:p w14:paraId="1C1668ED">
      <w:pPr>
        <w:widowControl/>
        <w:spacing w:before="0" w:after="0" w:line="240" w:lineRule="auto"/>
        <w:ind w:firstLine="0" w:firstLineChars="0"/>
        <w:jc w:val="left"/>
        <w:rPr>
          <w:rFonts w:ascii="黑体" w:hAnsi="黑体" w:eastAsia="黑体" w:cs="仿宋"/>
          <w:b/>
          <w:bCs/>
          <w:sz w:val="32"/>
          <w:szCs w:val="32"/>
        </w:rPr>
      </w:pPr>
      <w:r>
        <w:rPr>
          <w:rFonts w:ascii="黑体" w:hAnsi="黑体" w:eastAsia="黑体" w:cs="仿宋"/>
          <w:b/>
          <w:bCs/>
          <w:sz w:val="32"/>
          <w:szCs w:val="32"/>
        </w:rPr>
        <w:br w:type="page"/>
      </w:r>
    </w:p>
    <w:p w14:paraId="23618402">
      <w:pPr>
        <w:spacing w:before="260" w:after="260" w:line="560" w:lineRule="exact"/>
        <w:ind w:firstLine="0" w:firstLineChars="0"/>
        <w:jc w:val="center"/>
        <w:outlineLvl w:val="1"/>
        <w:rPr>
          <w:rFonts w:ascii="黑体" w:hAnsi="黑体" w:eastAsia="黑体" w:cs="仿宋"/>
          <w:b/>
          <w:bCs/>
          <w:sz w:val="32"/>
          <w:szCs w:val="32"/>
        </w:rPr>
      </w:pPr>
      <w:bookmarkStart w:id="190" w:name="_Toc131005123"/>
      <w:r>
        <w:rPr>
          <w:rFonts w:hint="eastAsia" w:ascii="黑体" w:hAnsi="黑体" w:eastAsia="黑体" w:cs="仿宋"/>
          <w:b/>
          <w:bCs/>
          <w:sz w:val="32"/>
          <w:szCs w:val="32"/>
        </w:rPr>
        <w:t>第四节</w:t>
      </w:r>
      <w:bookmarkStart w:id="191" w:name="_Hlk80104061"/>
      <w:r>
        <w:rPr>
          <w:rFonts w:ascii="黑体" w:hAnsi="黑体" w:eastAsia="黑体" w:cs="仿宋"/>
          <w:b/>
          <w:bCs/>
          <w:sz w:val="32"/>
          <w:szCs w:val="32"/>
        </w:rPr>
        <w:t xml:space="preserve"> </w:t>
      </w:r>
      <w:bookmarkEnd w:id="187"/>
      <w:bookmarkEnd w:id="188"/>
      <w:bookmarkEnd w:id="189"/>
      <w:bookmarkEnd w:id="191"/>
      <w:r>
        <w:rPr>
          <w:rFonts w:hint="eastAsia" w:ascii="黑体" w:hAnsi="黑体" w:eastAsia="黑体" w:cs="仿宋"/>
          <w:b/>
          <w:bCs/>
          <w:sz w:val="32"/>
          <w:szCs w:val="32"/>
        </w:rPr>
        <w:t>森林资源保护与质量提升工程</w:t>
      </w:r>
      <w:bookmarkEnd w:id="190"/>
    </w:p>
    <w:p w14:paraId="3DADCBF4">
      <w:pPr>
        <w:ind w:firstLine="560"/>
      </w:pPr>
      <w:bookmarkStart w:id="192" w:name="_Toc78481229"/>
      <w:r>
        <w:rPr>
          <w:rFonts w:hint="eastAsia"/>
        </w:rPr>
        <w:t>优化全县森林资源结构，以白虎岭、兴农沙漠、交通干道沿线为重点，以精准提高森林质量、优化改善林分结构、加强水源涵养保护为目标，科学有序推进森林生态修复，对森林集中区域进行封禁性保护和生态性培育，全面提升全县森林质量和生态服务功能。工程共包含白虎岭森林提升工程、森林创建项目、森林“四化”建设项目、低产低效林改造项目、冈上镇兴农沙漠森林公园生态修复项目、南昌县国土造林绿化项目共6个重点项目，主要涉及三江镇、黄马乡、冈上镇等乡镇。</w:t>
      </w:r>
    </w:p>
    <w:bookmarkEnd w:id="192"/>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DA2E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vAlign w:val="center"/>
          </w:tcPr>
          <w:p w14:paraId="06C2D504">
            <w:pPr>
              <w:spacing w:before="0" w:after="0" w:line="240" w:lineRule="auto"/>
              <w:ind w:firstLine="0" w:firstLineChars="0"/>
              <w:jc w:val="center"/>
              <w:rPr>
                <w:rFonts w:hAnsi="Times New Roman"/>
                <w:b/>
                <w:bCs/>
                <w:kern w:val="0"/>
                <w:sz w:val="24"/>
                <w:szCs w:val="24"/>
                <w:lang w:bidi="ar"/>
              </w:rPr>
            </w:pPr>
            <w:bookmarkStart w:id="193" w:name="_Toc78481231"/>
            <w:bookmarkStart w:id="194" w:name="_Toc86257458"/>
            <w:r>
              <w:rPr>
                <w:rFonts w:hint="eastAsia" w:hAnsi="Times New Roman"/>
                <w:b/>
                <w:bCs/>
                <w:kern w:val="0"/>
                <w:sz w:val="24"/>
                <w:szCs w:val="24"/>
                <w:lang w:bidi="ar"/>
              </w:rPr>
              <w:t>专栏</w:t>
            </w:r>
            <w:r>
              <w:rPr>
                <w:rFonts w:hAnsi="Times New Roman"/>
                <w:b/>
                <w:bCs/>
                <w:kern w:val="0"/>
                <w:sz w:val="24"/>
                <w:szCs w:val="24"/>
                <w:lang w:bidi="ar"/>
              </w:rPr>
              <w:t xml:space="preserve">5-4  </w:t>
            </w:r>
            <w:r>
              <w:rPr>
                <w:rFonts w:hint="eastAsia" w:hAnsi="Times New Roman"/>
                <w:b/>
                <w:bCs/>
                <w:kern w:val="0"/>
                <w:sz w:val="24"/>
                <w:szCs w:val="24"/>
                <w:lang w:bidi="ar"/>
              </w:rPr>
              <w:t>森林资源保护与质量提升工程</w:t>
            </w:r>
          </w:p>
        </w:tc>
      </w:tr>
      <w:tr w14:paraId="7D59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8" w:hRule="atLeast"/>
        </w:trPr>
        <w:tc>
          <w:tcPr>
            <w:tcW w:w="5000" w:type="pct"/>
          </w:tcPr>
          <w:p w14:paraId="0B9409D6">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1</w:t>
            </w:r>
            <w:r>
              <w:rPr>
                <w:rFonts w:hAnsi="Times New Roman"/>
                <w:b/>
                <w:bCs/>
                <w:kern w:val="0"/>
                <w:sz w:val="24"/>
                <w:szCs w:val="24"/>
                <w:lang w:bidi="ar"/>
              </w:rPr>
              <w:t>.</w:t>
            </w:r>
            <w:r>
              <w:rPr>
                <w:rFonts w:hint="eastAsia" w:hAnsi="Times New Roman"/>
                <w:b/>
                <w:bCs/>
                <w:kern w:val="0"/>
                <w:sz w:val="24"/>
                <w:szCs w:val="24"/>
                <w:lang w:bidi="ar"/>
              </w:rPr>
              <w:t>白虎岭森林提升项目</w:t>
            </w:r>
          </w:p>
          <w:p w14:paraId="4F7848A2">
            <w:pPr>
              <w:spacing w:before="0" w:after="0"/>
              <w:ind w:firstLine="0" w:firstLineChars="0"/>
              <w:rPr>
                <w:sz w:val="24"/>
                <w:szCs w:val="24"/>
              </w:rPr>
            </w:pPr>
            <w:r>
              <w:rPr>
                <w:rFonts w:hint="eastAsia"/>
                <w:b/>
                <w:bCs/>
                <w:sz w:val="24"/>
                <w:szCs w:val="24"/>
              </w:rPr>
              <w:t>主要任务：</w:t>
            </w:r>
            <w:r>
              <w:rPr>
                <w:rFonts w:hint="eastAsia"/>
                <w:sz w:val="24"/>
                <w:szCs w:val="24"/>
              </w:rPr>
              <w:t>在林地资源集中区开展森林提升工程，加强白虎岭森林资源培育力度。强化天然林保护和抚育</w:t>
            </w:r>
            <w:r>
              <w:rPr>
                <w:sz w:val="24"/>
                <w:szCs w:val="24"/>
              </w:rPr>
              <w:t>,健全和落实天然林管护体系，大力建设生态公益林，强化优质天然林、混交林以及阔叶林的保护，选择人工针阔混交林进行改造保护森林资源，</w:t>
            </w:r>
            <w:r>
              <w:rPr>
                <w:rFonts w:hint="eastAsia"/>
                <w:sz w:val="24"/>
                <w:szCs w:val="24"/>
              </w:rPr>
              <w:t>加强马尾松材线虫疫木除治与植被恢复</w:t>
            </w:r>
            <w:r>
              <w:rPr>
                <w:sz w:val="24"/>
                <w:szCs w:val="24"/>
              </w:rPr>
              <w:t>，维护白虎岭区域生态平衡。</w:t>
            </w:r>
          </w:p>
        </w:tc>
      </w:tr>
      <w:tr w14:paraId="4B51D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trPr>
        <w:tc>
          <w:tcPr>
            <w:tcW w:w="5000" w:type="pct"/>
          </w:tcPr>
          <w:p w14:paraId="39A9979D">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2</w:t>
            </w:r>
            <w:r>
              <w:rPr>
                <w:rFonts w:hAnsi="Times New Roman"/>
                <w:b/>
                <w:bCs/>
                <w:kern w:val="0"/>
                <w:sz w:val="24"/>
                <w:szCs w:val="24"/>
                <w:lang w:bidi="ar"/>
              </w:rPr>
              <w:t>.</w:t>
            </w:r>
            <w:r>
              <w:rPr>
                <w:rFonts w:hint="eastAsia" w:hAnsi="Times New Roman"/>
                <w:b/>
                <w:bCs/>
                <w:kern w:val="0"/>
                <w:sz w:val="24"/>
                <w:szCs w:val="24"/>
                <w:lang w:bidi="ar"/>
              </w:rPr>
              <w:t>森林创建项目</w:t>
            </w:r>
          </w:p>
          <w:p w14:paraId="4704E7A4">
            <w:pPr>
              <w:spacing w:before="0" w:after="0"/>
              <w:ind w:firstLine="0" w:firstLineChars="0"/>
              <w:rPr>
                <w:rFonts w:hAnsi="Times New Roman"/>
                <w:kern w:val="0"/>
                <w:sz w:val="24"/>
                <w:szCs w:val="24"/>
                <w:lang w:bidi="ar"/>
              </w:rPr>
            </w:pPr>
            <w:r>
              <w:rPr>
                <w:rFonts w:hint="eastAsia"/>
                <w:b/>
                <w:bCs/>
                <w:sz w:val="24"/>
                <w:szCs w:val="24"/>
              </w:rPr>
              <w:t>主要任务：</w:t>
            </w:r>
            <w:r>
              <w:rPr>
                <w:rFonts w:hint="eastAsia" w:hAnsi="Times New Roman"/>
                <w:kern w:val="0"/>
                <w:sz w:val="24"/>
                <w:szCs w:val="24"/>
                <w:lang w:bidi="ar"/>
              </w:rPr>
              <w:t>对乡镇主要通道进行森林抚育，重点对昌万公路、蒋巷中心公路、南新中心公路、幽兰连接线、蓝园大道、新莲塔线等主要道路两侧苗木加强管护。对村域内的道路、庭院、房前屋后、闲路地、水塘周边实现绿化全覆盖，营造村庄绿色生态系统，重点建设村庄绿地公园，突出生态效益和景观效果，形成“一村一品”各具特色的生态文明村。</w:t>
            </w:r>
          </w:p>
        </w:tc>
      </w:tr>
      <w:tr w14:paraId="2333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trPr>
        <w:tc>
          <w:tcPr>
            <w:tcW w:w="5000" w:type="pct"/>
          </w:tcPr>
          <w:p w14:paraId="05806FFC">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3</w:t>
            </w:r>
            <w:r>
              <w:rPr>
                <w:rFonts w:hAnsi="Times New Roman"/>
                <w:b/>
                <w:bCs/>
                <w:kern w:val="0"/>
                <w:sz w:val="24"/>
                <w:szCs w:val="24"/>
                <w:lang w:bidi="ar"/>
              </w:rPr>
              <w:t>.</w:t>
            </w:r>
            <w:r>
              <w:rPr>
                <w:rFonts w:hint="eastAsia" w:hAnsi="Times New Roman"/>
                <w:b/>
                <w:bCs/>
                <w:kern w:val="0"/>
                <w:sz w:val="24"/>
                <w:szCs w:val="24"/>
                <w:lang w:bidi="ar"/>
              </w:rPr>
              <w:t>森林“四化”建设项目</w:t>
            </w:r>
          </w:p>
          <w:p w14:paraId="06AA6873">
            <w:pPr>
              <w:spacing w:before="0" w:after="0"/>
              <w:ind w:firstLine="0" w:firstLineChars="0"/>
              <w:rPr>
                <w:rFonts w:hAnsi="Times New Roman"/>
                <w:b/>
                <w:bCs/>
                <w:kern w:val="0"/>
                <w:sz w:val="24"/>
                <w:szCs w:val="24"/>
                <w:lang w:bidi="ar"/>
              </w:rPr>
            </w:pPr>
            <w:r>
              <w:rPr>
                <w:rFonts w:hint="eastAsia"/>
                <w:b/>
                <w:bCs/>
                <w:sz w:val="24"/>
                <w:szCs w:val="24"/>
              </w:rPr>
              <w:t>主要任务：</w:t>
            </w:r>
            <w:r>
              <w:rPr>
                <w:rFonts w:hint="eastAsia"/>
                <w:sz w:val="24"/>
                <w:szCs w:val="24"/>
              </w:rPr>
              <w:t>结合省市绿化美化彩化珍贵化建设要求，重点对主要高速公路、高铁和生态廊道两侧可视范围内或第一重山脊内的裸露山体、重点风景名胜区周边以及重点乡村风景林和生态廊道等重要区域两侧</w:t>
            </w:r>
            <w:r>
              <w:rPr>
                <w:sz w:val="24"/>
                <w:szCs w:val="24"/>
              </w:rPr>
              <w:t>1公里范围内进行绿化提升，补植彩色和珍贵树种，提升森林景观。</w:t>
            </w:r>
          </w:p>
        </w:tc>
      </w:tr>
      <w:tr w14:paraId="52C3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5000" w:type="pct"/>
          </w:tcPr>
          <w:p w14:paraId="1620CA4C">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4.</w:t>
            </w:r>
            <w:r>
              <w:rPr>
                <w:rFonts w:hint="eastAsia" w:hAnsi="Times New Roman"/>
                <w:b/>
                <w:bCs/>
                <w:kern w:val="0"/>
                <w:sz w:val="24"/>
                <w:szCs w:val="24"/>
                <w:lang w:bidi="ar"/>
              </w:rPr>
              <w:t>低产低效林改造项目</w:t>
            </w:r>
          </w:p>
          <w:p w14:paraId="516846CF">
            <w:pPr>
              <w:spacing w:before="0" w:after="0"/>
              <w:ind w:firstLine="0" w:firstLineChars="0"/>
              <w:rPr>
                <w:rFonts w:hAnsi="Times New Roman"/>
                <w:b/>
                <w:bCs/>
                <w:kern w:val="0"/>
                <w:sz w:val="24"/>
                <w:szCs w:val="24"/>
                <w:lang w:bidi="ar"/>
              </w:rPr>
            </w:pPr>
            <w:r>
              <w:rPr>
                <w:rFonts w:hint="eastAsia"/>
                <w:b/>
                <w:bCs/>
                <w:sz w:val="24"/>
                <w:szCs w:val="24"/>
              </w:rPr>
              <w:t>主要任务：</w:t>
            </w:r>
            <w:r>
              <w:rPr>
                <w:rFonts w:hint="eastAsia" w:hAnsi="Times New Roman"/>
                <w:kern w:val="0"/>
                <w:sz w:val="24"/>
                <w:szCs w:val="24"/>
                <w:lang w:bidi="ar"/>
              </w:rPr>
              <w:t>对郁闭度</w:t>
            </w:r>
            <w:r>
              <w:rPr>
                <w:rFonts w:hAnsi="Times New Roman"/>
                <w:kern w:val="0"/>
                <w:sz w:val="24"/>
                <w:szCs w:val="24"/>
                <w:lang w:bidi="ar"/>
              </w:rPr>
              <w:t>0.4以下或亩均蓄积量3立方米以下的低效林分、病虫害严重的低产低效林，采取更新改造、补植补造等方式进行改造。新栽阔叶类苗木培育时间应为2-3年及以上，每亩补植50株以上，补植后最低密度应达到该类林分合理密度的85%以上，新栽苗木成活率达到85%以上，实现低产低效林从增绿到造景的全面提升。</w:t>
            </w:r>
          </w:p>
        </w:tc>
      </w:tr>
      <w:tr w14:paraId="3305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5000" w:type="pct"/>
          </w:tcPr>
          <w:p w14:paraId="1312E1A2">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5</w:t>
            </w:r>
            <w:r>
              <w:rPr>
                <w:rFonts w:hAnsi="Times New Roman"/>
                <w:b/>
                <w:bCs/>
                <w:kern w:val="0"/>
                <w:sz w:val="24"/>
                <w:szCs w:val="24"/>
                <w:lang w:bidi="ar"/>
              </w:rPr>
              <w:t>.</w:t>
            </w:r>
            <w:r>
              <w:rPr>
                <w:rFonts w:hint="eastAsia" w:hAnsi="Times New Roman"/>
                <w:b/>
                <w:bCs/>
                <w:kern w:val="0"/>
                <w:sz w:val="24"/>
                <w:szCs w:val="24"/>
                <w:lang w:bidi="ar"/>
              </w:rPr>
              <w:t>冈上镇兴农沙漠森林公园生态修复项目</w:t>
            </w:r>
          </w:p>
          <w:p w14:paraId="1F3C36B6">
            <w:pPr>
              <w:spacing w:before="0" w:after="0"/>
              <w:ind w:firstLine="0" w:firstLineChars="0"/>
              <w:rPr>
                <w:rFonts w:hAnsi="Times New Roman"/>
                <w:b/>
                <w:bCs/>
                <w:kern w:val="0"/>
                <w:sz w:val="24"/>
                <w:szCs w:val="24"/>
                <w:lang w:bidi="ar"/>
              </w:rPr>
            </w:pPr>
            <w:r>
              <w:rPr>
                <w:rFonts w:hint="eastAsia"/>
                <w:b/>
                <w:bCs/>
                <w:sz w:val="24"/>
                <w:szCs w:val="24"/>
              </w:rPr>
              <w:t>主要任务：</w:t>
            </w:r>
            <w:r>
              <w:rPr>
                <w:rFonts w:hint="eastAsia" w:hAnsi="Times New Roman"/>
                <w:kern w:val="0"/>
                <w:sz w:val="24"/>
                <w:szCs w:val="24"/>
                <w:lang w:bidi="ar"/>
              </w:rPr>
              <w:t>加强对冈上镇</w:t>
            </w:r>
            <w:r>
              <w:rPr>
                <w:rFonts w:hAnsi="Times New Roman"/>
                <w:kern w:val="0"/>
                <w:sz w:val="24"/>
                <w:szCs w:val="24"/>
                <w:lang w:bidi="ar"/>
              </w:rPr>
              <w:t>422.3公顷优势树种、珍贵树种</w:t>
            </w:r>
            <w:r>
              <w:rPr>
                <w:rFonts w:hint="eastAsia" w:hAnsi="Times New Roman"/>
                <w:kern w:val="0"/>
                <w:sz w:val="24"/>
                <w:szCs w:val="24"/>
                <w:lang w:bidi="ar"/>
              </w:rPr>
              <w:t>的</w:t>
            </w:r>
            <w:r>
              <w:rPr>
                <w:rFonts w:hAnsi="Times New Roman"/>
                <w:kern w:val="0"/>
                <w:sz w:val="24"/>
                <w:szCs w:val="24"/>
                <w:lang w:bidi="ar"/>
              </w:rPr>
              <w:t>保护修复，通过更换高品质树种、改良土壤、封山育林等方式改善低效林地、残次林地</w:t>
            </w:r>
            <w:r>
              <w:rPr>
                <w:rFonts w:hint="eastAsia" w:hAnsi="Times New Roman"/>
                <w:kern w:val="0"/>
                <w:sz w:val="24"/>
                <w:szCs w:val="24"/>
                <w:lang w:bidi="ar"/>
              </w:rPr>
              <w:t>，提升兴农沙漠森林公园整体生态质量。</w:t>
            </w:r>
          </w:p>
        </w:tc>
      </w:tr>
      <w:tr w14:paraId="48F0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213A36F">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6.</w:t>
            </w:r>
            <w:r>
              <w:rPr>
                <w:rFonts w:hint="eastAsia" w:hAnsi="Times New Roman"/>
                <w:b/>
                <w:bCs/>
                <w:kern w:val="0"/>
                <w:sz w:val="24"/>
                <w:szCs w:val="24"/>
                <w:lang w:bidi="ar"/>
              </w:rPr>
              <w:t>南昌县国土造林绿化项目</w:t>
            </w:r>
          </w:p>
          <w:p w14:paraId="25E69E80">
            <w:pPr>
              <w:spacing w:before="0" w:after="0"/>
              <w:ind w:firstLine="0" w:firstLineChars="0"/>
              <w:rPr>
                <w:rFonts w:hAnsi="Times New Roman"/>
                <w:b/>
                <w:bCs/>
                <w:kern w:val="0"/>
                <w:sz w:val="24"/>
                <w:szCs w:val="24"/>
                <w:lang w:bidi="ar"/>
              </w:rPr>
            </w:pPr>
            <w:r>
              <w:rPr>
                <w:rFonts w:hint="eastAsia"/>
                <w:b/>
                <w:bCs/>
                <w:sz w:val="24"/>
                <w:szCs w:val="24"/>
              </w:rPr>
              <w:t>主要任务：</w:t>
            </w:r>
            <w:r>
              <w:rPr>
                <w:rFonts w:hint="eastAsia" w:hAnsi="Times New Roman"/>
                <w:kern w:val="0"/>
                <w:sz w:val="24"/>
                <w:szCs w:val="24"/>
                <w:lang w:bidi="ar"/>
              </w:rPr>
              <w:t>明确造林绿化空间工作，落实党中央、国务院科学开展国土绿化、加强生态保护修复等决策部署。开展造林适宜性图斑调查评估工作，为国土造林绿化提供基础数据，坚持“宜乔则乔、宜灌则灌、宜湿则湿”的原则，落实南昌县适宜造林绿化图斑面积</w:t>
            </w:r>
            <w:r>
              <w:rPr>
                <w:rFonts w:hAnsi="Times New Roman"/>
                <w:kern w:val="0"/>
                <w:sz w:val="24"/>
                <w:szCs w:val="24"/>
                <w:lang w:bidi="ar"/>
              </w:rPr>
              <w:t>1171亩。</w:t>
            </w:r>
            <w:r>
              <w:rPr>
                <w:rFonts w:hint="eastAsia" w:hAnsi="Times New Roman"/>
                <w:kern w:val="0"/>
                <w:sz w:val="24"/>
                <w:szCs w:val="24"/>
                <w:lang w:bidi="ar"/>
              </w:rPr>
              <w:t>加强对全县</w:t>
            </w:r>
            <w:r>
              <w:rPr>
                <w:rFonts w:hAnsi="Times New Roman"/>
                <w:kern w:val="0"/>
                <w:sz w:val="24"/>
                <w:szCs w:val="24"/>
                <w:lang w:bidi="ar"/>
              </w:rPr>
              <w:t>6010.6公顷森林和14795公顷湿地功能退化地块进行生态修复</w:t>
            </w:r>
            <w:r>
              <w:rPr>
                <w:rFonts w:hint="eastAsia" w:hAnsi="Times New Roman"/>
                <w:kern w:val="0"/>
                <w:sz w:val="24"/>
                <w:szCs w:val="24"/>
                <w:lang w:bidi="ar"/>
              </w:rPr>
              <w:t>，</w:t>
            </w:r>
            <w:r>
              <w:rPr>
                <w:rFonts w:hAnsi="Times New Roman"/>
                <w:kern w:val="0"/>
                <w:sz w:val="24"/>
                <w:szCs w:val="24"/>
                <w:lang w:bidi="ar"/>
              </w:rPr>
              <w:t>对全县432.25公顷沙化土地进行科学治理</w:t>
            </w:r>
            <w:r>
              <w:rPr>
                <w:rFonts w:hint="eastAsia" w:hAnsi="Times New Roman"/>
                <w:kern w:val="0"/>
                <w:sz w:val="24"/>
                <w:szCs w:val="24"/>
                <w:lang w:bidi="ar"/>
              </w:rPr>
              <w:t>，</w:t>
            </w:r>
            <w:r>
              <w:rPr>
                <w:rFonts w:hAnsi="Times New Roman"/>
                <w:kern w:val="0"/>
                <w:sz w:val="24"/>
                <w:szCs w:val="24"/>
                <w:lang w:bidi="ar"/>
              </w:rPr>
              <w:t>对集镇、村庄、道路及重要节点进行绿化、美化、彩化</w:t>
            </w:r>
            <w:r>
              <w:rPr>
                <w:rFonts w:hint="eastAsia" w:hAnsi="Times New Roman"/>
                <w:kern w:val="0"/>
                <w:sz w:val="24"/>
                <w:szCs w:val="24"/>
                <w:lang w:bidi="ar"/>
              </w:rPr>
              <w:t>。</w:t>
            </w:r>
          </w:p>
        </w:tc>
      </w:tr>
    </w:tbl>
    <w:p w14:paraId="1322B76D">
      <w:pPr>
        <w:spacing w:before="260" w:after="260" w:line="560" w:lineRule="exact"/>
        <w:ind w:firstLine="0" w:firstLineChars="0"/>
        <w:jc w:val="center"/>
        <w:outlineLvl w:val="1"/>
        <w:rPr>
          <w:rFonts w:ascii="黑体" w:hAnsi="黑体" w:eastAsia="黑体" w:cs="仿宋"/>
          <w:b/>
          <w:bCs/>
          <w:sz w:val="32"/>
          <w:szCs w:val="32"/>
        </w:rPr>
      </w:pPr>
      <w:bookmarkStart w:id="195" w:name="_Toc131005124"/>
      <w:r>
        <w:rPr>
          <w:rFonts w:hint="eastAsia" w:ascii="黑体" w:hAnsi="黑体" w:eastAsia="黑体" w:cs="仿宋"/>
          <w:b/>
          <w:bCs/>
          <w:sz w:val="32"/>
          <w:szCs w:val="32"/>
        </w:rPr>
        <w:t>第五节</w:t>
      </w:r>
      <w:bookmarkStart w:id="196" w:name="_Hlk80104787"/>
      <w:r>
        <w:rPr>
          <w:rFonts w:ascii="黑体" w:hAnsi="黑体" w:eastAsia="黑体" w:cs="仿宋"/>
          <w:b/>
          <w:bCs/>
          <w:sz w:val="32"/>
          <w:szCs w:val="32"/>
        </w:rPr>
        <w:t xml:space="preserve"> </w:t>
      </w:r>
      <w:bookmarkEnd w:id="193"/>
      <w:bookmarkEnd w:id="194"/>
      <w:bookmarkEnd w:id="196"/>
      <w:r>
        <w:rPr>
          <w:rFonts w:hint="eastAsia" w:ascii="黑体" w:hAnsi="黑体" w:eastAsia="黑体" w:cs="仿宋"/>
          <w:b/>
          <w:bCs/>
          <w:sz w:val="32"/>
          <w:szCs w:val="32"/>
        </w:rPr>
        <w:t>国土综合整治与农用地生态功能提升工程</w:t>
      </w:r>
      <w:bookmarkEnd w:id="195"/>
    </w:p>
    <w:p w14:paraId="7242AFD8">
      <w:pPr>
        <w:ind w:firstLine="560"/>
        <w:rPr>
          <w:b/>
          <w:bCs/>
        </w:rPr>
      </w:pPr>
      <w:bookmarkStart w:id="197" w:name="_Toc78481232"/>
      <w:r>
        <w:rPr>
          <w:rFonts w:hint="eastAsia"/>
        </w:rPr>
        <w:t>推动生态型</w:t>
      </w:r>
      <w:r>
        <w:t>高标准农田建设</w:t>
      </w:r>
      <w:r>
        <w:rPr>
          <w:rFonts w:hint="eastAsia"/>
        </w:rPr>
        <w:t>和改造提升，治理修复污染耕地，提升农业生态水平。</w:t>
      </w:r>
      <w:r>
        <w:t>遵循“宜农则农、宜建则建、宜整则整、宜留则留”的基本原则，全面开展</w:t>
      </w:r>
      <w:r>
        <w:rPr>
          <w:rFonts w:hint="eastAsia"/>
        </w:rPr>
        <w:t>塘南镇、向塘镇、蒋巷镇等乡镇</w:t>
      </w:r>
      <w:r>
        <w:t>全域土地综合整治，统筹推进农用地整理、建设用地整理和乡村生态保护修复，促进农村生态环境改善，助推乡村振兴</w:t>
      </w:r>
      <w:r>
        <w:rPr>
          <w:rFonts w:hint="eastAsia"/>
        </w:rPr>
        <w:t>。工程共包含南昌县土壤污染治理与修复项目、南昌县全域土地综合整治项目、南昌县高标准农田建设项目、南昌县高标准农田改造提升项目、抚河下游流域农用地生态功能提升项目共</w:t>
      </w:r>
      <w:r>
        <w:t>5</w:t>
      </w:r>
      <w:r>
        <w:rPr>
          <w:rFonts w:hint="eastAsia"/>
        </w:rPr>
        <w:t>个重点项目，主要涉及八一乡、塘南镇、向塘镇、蒋巷镇、蒋巷镇、泾口乡、南新乡等乡镇。</w:t>
      </w:r>
    </w:p>
    <w:bookmarkEnd w:id="197"/>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35F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vAlign w:val="center"/>
          </w:tcPr>
          <w:p w14:paraId="7419336E">
            <w:pPr>
              <w:spacing w:before="0" w:after="0" w:line="240" w:lineRule="auto"/>
              <w:ind w:firstLine="0" w:firstLineChars="0"/>
              <w:jc w:val="center"/>
              <w:rPr>
                <w:rFonts w:hAnsi="Times New Roman"/>
                <w:b/>
                <w:bCs/>
                <w:kern w:val="0"/>
                <w:sz w:val="24"/>
                <w:szCs w:val="24"/>
                <w:lang w:bidi="ar"/>
              </w:rPr>
            </w:pPr>
            <w:r>
              <w:rPr>
                <w:rFonts w:hint="eastAsia" w:hAnsi="Times New Roman"/>
                <w:b/>
                <w:bCs/>
                <w:kern w:val="0"/>
                <w:sz w:val="24"/>
                <w:szCs w:val="24"/>
                <w:lang w:bidi="ar"/>
              </w:rPr>
              <w:t>专栏</w:t>
            </w:r>
            <w:r>
              <w:rPr>
                <w:rFonts w:hAnsi="Times New Roman"/>
                <w:b/>
                <w:bCs/>
                <w:kern w:val="0"/>
                <w:sz w:val="24"/>
                <w:szCs w:val="24"/>
                <w:lang w:bidi="ar"/>
              </w:rPr>
              <w:t xml:space="preserve">5-5  </w:t>
            </w:r>
            <w:r>
              <w:rPr>
                <w:rFonts w:hint="eastAsia" w:hAnsi="Times New Roman"/>
                <w:b/>
                <w:bCs/>
                <w:kern w:val="0"/>
                <w:sz w:val="24"/>
                <w:szCs w:val="24"/>
                <w:lang w:bidi="ar"/>
              </w:rPr>
              <w:t>国土综合整治与农用地生态功能提升工程</w:t>
            </w:r>
          </w:p>
        </w:tc>
      </w:tr>
      <w:tr w14:paraId="019E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5000" w:type="pct"/>
          </w:tcPr>
          <w:p w14:paraId="67486F17">
            <w:pPr>
              <w:spacing w:beforeLines="50" w:after="0"/>
              <w:ind w:firstLine="0" w:firstLineChars="0"/>
              <w:jc w:val="left"/>
              <w:rPr>
                <w:rFonts w:hAnsi="Times New Roman"/>
                <w:b/>
                <w:bCs/>
                <w:kern w:val="0"/>
                <w:sz w:val="24"/>
                <w:szCs w:val="24"/>
                <w:lang w:bidi="ar"/>
              </w:rPr>
            </w:pPr>
            <w:bookmarkStart w:id="198" w:name="_Hlk120884207"/>
            <w:r>
              <w:rPr>
                <w:rFonts w:hint="eastAsia" w:hAnsi="Times New Roman"/>
                <w:b/>
                <w:bCs/>
                <w:kern w:val="0"/>
                <w:sz w:val="24"/>
                <w:szCs w:val="24"/>
                <w:lang w:bidi="ar"/>
              </w:rPr>
              <w:t>1</w:t>
            </w:r>
            <w:r>
              <w:rPr>
                <w:rFonts w:hAnsi="Times New Roman"/>
                <w:b/>
                <w:bCs/>
                <w:kern w:val="0"/>
                <w:sz w:val="24"/>
                <w:szCs w:val="24"/>
                <w:lang w:bidi="ar"/>
              </w:rPr>
              <w:t>.</w:t>
            </w:r>
            <w:r>
              <w:rPr>
                <w:rFonts w:hint="eastAsia" w:hAnsi="Times New Roman"/>
                <w:b/>
                <w:bCs/>
                <w:kern w:val="0"/>
                <w:sz w:val="24"/>
                <w:szCs w:val="24"/>
                <w:lang w:bidi="ar"/>
              </w:rPr>
              <w:t>南昌县土壤污染治理与修复项目</w:t>
            </w:r>
          </w:p>
          <w:p w14:paraId="7D821272">
            <w:pPr>
              <w:spacing w:before="0" w:after="0"/>
              <w:ind w:firstLine="0" w:firstLineChars="0"/>
              <w:rPr>
                <w:sz w:val="24"/>
                <w:szCs w:val="24"/>
              </w:rPr>
            </w:pPr>
            <w:r>
              <w:rPr>
                <w:rFonts w:hint="eastAsia"/>
                <w:b/>
                <w:bCs/>
                <w:sz w:val="24"/>
                <w:szCs w:val="24"/>
              </w:rPr>
              <w:t>主要任务：</w:t>
            </w:r>
            <w:r>
              <w:rPr>
                <w:rFonts w:hint="eastAsia"/>
                <w:sz w:val="24"/>
                <w:szCs w:val="24"/>
              </w:rPr>
              <w:t>对耕地污染较为严重的区域，通过调整种植制度、净化灌溉水或采用替代水源、深翻耕地、种植低镉积累水稻品种、秸秆还田配施石灰等碱性材料、农艺阻控技术等相关措施进行治理修复。开展农用地土壤污染状况详查，着力解决土壤酸化问题，继续开展重金属污染耕地修复及种植结构调整试点。</w:t>
            </w:r>
          </w:p>
        </w:tc>
      </w:tr>
      <w:bookmarkEnd w:id="198"/>
      <w:tr w14:paraId="2AEC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5000" w:type="pct"/>
          </w:tcPr>
          <w:p w14:paraId="3638FAFB">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2</w:t>
            </w:r>
            <w:r>
              <w:rPr>
                <w:rFonts w:hAnsi="Times New Roman"/>
                <w:b/>
                <w:bCs/>
                <w:kern w:val="0"/>
                <w:sz w:val="24"/>
                <w:szCs w:val="24"/>
                <w:lang w:bidi="ar"/>
              </w:rPr>
              <w:t>.</w:t>
            </w:r>
            <w:r>
              <w:rPr>
                <w:rFonts w:hint="eastAsia" w:hAnsi="Times New Roman"/>
                <w:b/>
                <w:bCs/>
                <w:kern w:val="0"/>
                <w:sz w:val="24"/>
                <w:szCs w:val="24"/>
                <w:lang w:bidi="ar"/>
              </w:rPr>
              <w:t>南昌县全域土地综合整治项目</w:t>
            </w:r>
          </w:p>
          <w:p w14:paraId="4CE79FCC">
            <w:pPr>
              <w:spacing w:before="0" w:after="0"/>
              <w:ind w:firstLine="0" w:firstLineChars="0"/>
              <w:rPr>
                <w:rFonts w:hAnsi="Times New Roman"/>
                <w:b/>
                <w:bCs/>
                <w:kern w:val="0"/>
                <w:sz w:val="24"/>
                <w:szCs w:val="24"/>
                <w:lang w:bidi="ar"/>
              </w:rPr>
            </w:pPr>
            <w:r>
              <w:rPr>
                <w:rFonts w:hint="eastAsia"/>
                <w:b/>
                <w:bCs/>
                <w:sz w:val="24"/>
                <w:szCs w:val="24"/>
              </w:rPr>
              <w:t>主要任务：</w:t>
            </w:r>
            <w:r>
              <w:rPr>
                <w:rFonts w:hint="eastAsia"/>
                <w:sz w:val="24"/>
                <w:szCs w:val="24"/>
              </w:rPr>
              <w:t>实施农用地生态整治、建设用地整理、工矿废弃地生态复垦，乡村整体生态保护修复。结合整治区域生态状况，针对突出生态问题，立足生态景观、生态系统等尺度，开展农田生态系统保护修复、生态网络连通、水系修复、绿色基础设施和生态廊道建设等工作，改善乡村生态功能、维护生物多样性。</w:t>
            </w:r>
          </w:p>
        </w:tc>
      </w:tr>
      <w:tr w14:paraId="46AD3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trPr>
        <w:tc>
          <w:tcPr>
            <w:tcW w:w="5000" w:type="pct"/>
          </w:tcPr>
          <w:p w14:paraId="0D97CB53">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3.</w:t>
            </w:r>
            <w:r>
              <w:rPr>
                <w:rFonts w:hint="eastAsia" w:hAnsi="Times New Roman"/>
                <w:b/>
                <w:bCs/>
                <w:kern w:val="0"/>
                <w:sz w:val="24"/>
                <w:szCs w:val="24"/>
                <w:lang w:bidi="ar"/>
              </w:rPr>
              <w:t>南昌县高标准农田建设项目</w:t>
            </w:r>
          </w:p>
          <w:p w14:paraId="28461A87">
            <w:pPr>
              <w:spacing w:before="0" w:after="0"/>
              <w:ind w:firstLine="0" w:firstLineChars="0"/>
              <w:rPr>
                <w:rFonts w:ascii="Times New Roman" w:hAnsi="Times New Roman" w:eastAsia="仿宋"/>
                <w:b/>
                <w:bCs/>
                <w:kern w:val="0"/>
                <w:sz w:val="24"/>
                <w:szCs w:val="24"/>
                <w:lang w:bidi="ar"/>
              </w:rPr>
            </w:pPr>
            <w:r>
              <w:rPr>
                <w:rFonts w:hint="eastAsia"/>
                <w:b/>
                <w:bCs/>
                <w:sz w:val="24"/>
                <w:szCs w:val="24"/>
              </w:rPr>
              <w:t>主要任务：</w:t>
            </w:r>
            <w:r>
              <w:rPr>
                <w:rFonts w:hint="eastAsia" w:hAnsi="Times New Roman"/>
                <w:kern w:val="0"/>
                <w:sz w:val="24"/>
                <w:szCs w:val="24"/>
                <w:lang w:bidi="ar"/>
              </w:rPr>
              <w:t>建设生态输水渠道，扩建原有渠道，避免大范围重建与开挖支渠，采取装配式预制砌块，尽可能避免永久性硬化。建设生态型农田道路，采取多孔质设计，在道路边缘尽量留有生态廊道，为其他生物的通行及生存提供空间。加强秸秆还田技术应用，在保证农田林网防护功能的前提下，适当搭配一些观赏树木或花卉，如紫微、红叶石楠、香樟等观赏植物，强化农田景观及缓冲带建设，到</w:t>
            </w:r>
            <w:r>
              <w:rPr>
                <w:rFonts w:hAnsi="Times New Roman"/>
                <w:kern w:val="0"/>
                <w:sz w:val="24"/>
                <w:szCs w:val="24"/>
                <w:lang w:bidi="ar"/>
              </w:rPr>
              <w:t>2025年累计建成生态型高标准农田98.14万亩</w:t>
            </w:r>
            <w:r>
              <w:rPr>
                <w:rFonts w:hint="eastAsia" w:hAnsi="Times New Roman"/>
                <w:kern w:val="0"/>
                <w:sz w:val="24"/>
                <w:szCs w:val="24"/>
                <w:lang w:bidi="ar"/>
              </w:rPr>
              <w:t>。</w:t>
            </w:r>
          </w:p>
        </w:tc>
      </w:tr>
      <w:tr w14:paraId="6A3A9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000" w:type="pct"/>
          </w:tcPr>
          <w:p w14:paraId="3E3A779F">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4.</w:t>
            </w:r>
            <w:r>
              <w:rPr>
                <w:rFonts w:hint="eastAsia" w:hAnsi="Times New Roman"/>
                <w:b/>
                <w:bCs/>
                <w:kern w:val="0"/>
                <w:sz w:val="24"/>
                <w:szCs w:val="24"/>
                <w:lang w:bidi="ar"/>
              </w:rPr>
              <w:t>南昌县高标准农田改造提升项目</w:t>
            </w:r>
          </w:p>
          <w:p w14:paraId="3FE07334">
            <w:pPr>
              <w:spacing w:before="0" w:after="0"/>
              <w:ind w:firstLine="0" w:firstLineChars="0"/>
              <w:rPr>
                <w:rFonts w:hAnsi="Times New Roman"/>
                <w:kern w:val="0"/>
                <w:sz w:val="24"/>
                <w:szCs w:val="24"/>
                <w:lang w:bidi="ar"/>
              </w:rPr>
            </w:pPr>
            <w:r>
              <w:rPr>
                <w:rFonts w:hint="eastAsia"/>
                <w:b/>
                <w:bCs/>
                <w:sz w:val="24"/>
                <w:szCs w:val="24"/>
              </w:rPr>
              <w:t>主要任务：</w:t>
            </w:r>
            <w:r>
              <w:rPr>
                <w:rFonts w:hint="eastAsia"/>
                <w:sz w:val="24"/>
                <w:szCs w:val="24"/>
              </w:rPr>
              <w:t>对</w:t>
            </w:r>
            <w:r>
              <w:rPr>
                <w:sz w:val="24"/>
                <w:szCs w:val="24"/>
              </w:rPr>
              <w:t>2011-2016年各部门建设标准低、损毁严重的高标准</w:t>
            </w:r>
            <w:bookmarkStart w:id="199" w:name="_Hlk129164032"/>
            <w:r>
              <w:rPr>
                <w:sz w:val="24"/>
                <w:szCs w:val="24"/>
              </w:rPr>
              <w:t>农田</w:t>
            </w:r>
            <w:bookmarkEnd w:id="199"/>
            <w:r>
              <w:rPr>
                <w:sz w:val="24"/>
                <w:szCs w:val="24"/>
              </w:rPr>
              <w:t>进行生态功能改造提升，实施土地整治生态工程、灌溉排水生态工程、田间道路生态工程、农田林网生态防护工程、建设水体生态净化工程，优先在“三线一区”，即高速、铁路、国道沿线和旅游风景区，选取一批相对集中连片、规模万亩以上区域，打造成高标准农田生态质量改造提升示范项目。到2025年改造提升11.53万亩，到2030年改造提升28.78万亩。</w:t>
            </w:r>
          </w:p>
        </w:tc>
      </w:tr>
      <w:tr w14:paraId="1403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000" w:type="pct"/>
          </w:tcPr>
          <w:p w14:paraId="70B853AD">
            <w:pPr>
              <w:spacing w:beforeLines="50" w:after="0"/>
              <w:ind w:firstLine="0" w:firstLineChars="0"/>
              <w:jc w:val="left"/>
              <w:rPr>
                <w:b/>
                <w:bCs/>
                <w:sz w:val="24"/>
                <w:szCs w:val="24"/>
              </w:rPr>
            </w:pPr>
            <w:r>
              <w:rPr>
                <w:b/>
                <w:bCs/>
                <w:sz w:val="24"/>
                <w:szCs w:val="24"/>
              </w:rPr>
              <w:t>5.</w:t>
            </w:r>
            <w:r>
              <w:rPr>
                <w:rFonts w:hint="eastAsia"/>
                <w:b/>
                <w:bCs/>
                <w:sz w:val="24"/>
                <w:szCs w:val="24"/>
              </w:rPr>
              <w:t>抚河下游流域农用地生态功能提升项目</w:t>
            </w:r>
          </w:p>
          <w:p w14:paraId="576C63CD">
            <w:pPr>
              <w:spacing w:before="0" w:after="0"/>
              <w:ind w:firstLine="0" w:firstLineChars="0"/>
              <w:jc w:val="left"/>
              <w:rPr>
                <w:rFonts w:hAnsi="Times New Roman"/>
                <w:b/>
                <w:bCs/>
                <w:kern w:val="0"/>
                <w:sz w:val="24"/>
                <w:szCs w:val="24"/>
                <w:lang w:bidi="ar"/>
              </w:rPr>
            </w:pPr>
            <w:r>
              <w:rPr>
                <w:rFonts w:hint="eastAsia"/>
                <w:b/>
                <w:bCs/>
                <w:sz w:val="24"/>
                <w:szCs w:val="24"/>
              </w:rPr>
              <w:t>主要任务：</w:t>
            </w:r>
            <w:r>
              <w:rPr>
                <w:rFonts w:hint="eastAsia"/>
                <w:sz w:val="24"/>
                <w:szCs w:val="24"/>
              </w:rPr>
              <w:t>在幽兰镇、泾口乡、塘南镇</w:t>
            </w:r>
            <w:r>
              <w:rPr>
                <w:sz w:val="24"/>
                <w:szCs w:val="24"/>
              </w:rPr>
              <w:t>3个乡镇21个行政村。建设生态化示范治理农田面积7.91万亩，建设生态渠15.30千米，生态排水沟13.65千米，整理沟渠35.64千米，构建生态塘93座，农业生产废弃物收集箱160个，恢复植被缓冲带15公顷，设置科普宣传和安全警示牌50块。通过项目实施，全面提升抚河下游流域农用地生态功能，修复生态栖息地，提升抚河下游流域农用地水质，打通区域水循环系统等。</w:t>
            </w:r>
          </w:p>
        </w:tc>
      </w:tr>
    </w:tbl>
    <w:p w14:paraId="1C222152">
      <w:pPr>
        <w:spacing w:before="260" w:after="260" w:line="560" w:lineRule="exact"/>
        <w:ind w:firstLine="0" w:firstLineChars="0"/>
        <w:jc w:val="center"/>
        <w:outlineLvl w:val="1"/>
        <w:rPr>
          <w:rFonts w:ascii="黑体" w:hAnsi="黑体" w:eastAsia="黑体" w:cs="仿宋"/>
          <w:b/>
          <w:bCs/>
          <w:sz w:val="32"/>
          <w:szCs w:val="32"/>
        </w:rPr>
      </w:pPr>
      <w:bookmarkStart w:id="200" w:name="_Toc131005125"/>
      <w:r>
        <w:rPr>
          <w:rFonts w:hint="eastAsia" w:ascii="黑体" w:hAnsi="黑体" w:eastAsia="黑体" w:cs="仿宋"/>
          <w:b/>
          <w:bCs/>
          <w:sz w:val="32"/>
          <w:szCs w:val="32"/>
        </w:rPr>
        <w:t xml:space="preserve">第六节 </w:t>
      </w:r>
      <w:bookmarkStart w:id="201" w:name="_Hlk129015684"/>
      <w:r>
        <w:rPr>
          <w:rFonts w:hint="eastAsia" w:ascii="黑体" w:hAnsi="黑体" w:eastAsia="黑体" w:cs="仿宋"/>
          <w:b/>
          <w:bCs/>
          <w:sz w:val="32"/>
          <w:szCs w:val="32"/>
        </w:rPr>
        <w:t>城乡生态网络</w:t>
      </w:r>
      <w:bookmarkEnd w:id="201"/>
      <w:r>
        <w:rPr>
          <w:rFonts w:hint="eastAsia" w:ascii="黑体" w:hAnsi="黑体" w:eastAsia="黑体" w:cs="仿宋"/>
          <w:b/>
          <w:bCs/>
          <w:sz w:val="32"/>
          <w:szCs w:val="32"/>
        </w:rPr>
        <w:t>连通与人居环境改善工程</w:t>
      </w:r>
      <w:bookmarkEnd w:id="200"/>
    </w:p>
    <w:p w14:paraId="08730B37">
      <w:pPr>
        <w:ind w:firstLine="560"/>
        <w:rPr>
          <w:b/>
          <w:bCs/>
        </w:rPr>
      </w:pPr>
      <w:r>
        <w:rPr>
          <w:rFonts w:hint="eastAsia"/>
        </w:rPr>
        <w:t>加强城乡人居环境整治提升，完善生态基础设施建设，</w:t>
      </w:r>
      <w:r>
        <w:t>拓展城市</w:t>
      </w:r>
      <w:r>
        <w:rPr>
          <w:rFonts w:hint="eastAsia"/>
        </w:rPr>
        <w:t>蓝绿</w:t>
      </w:r>
      <w:r>
        <w:t>生态空间，全面提升城市生态环境品质</w:t>
      </w:r>
      <w:r>
        <w:rPr>
          <w:rFonts w:hint="eastAsia"/>
        </w:rPr>
        <w:t>，系统推进农业面源污染治理，助力农村人居环境改善。</w:t>
      </w:r>
      <w:r>
        <w:t>强化滨水空间生态修复，推动绿廊、绿环、绿楔等绿地建设，</w:t>
      </w:r>
      <w:r>
        <w:rPr>
          <w:rFonts w:hint="eastAsia"/>
        </w:rPr>
        <w:t>全面构建互联互通、景观优美、结构稳定、功能完备的城乡生态廊道网络体系。工程共包含雁沙湖公园生态修复项目、抚河故道湿地郊野公园建设项目、城市公园改造提升项目、南昌县赣江岸线生态综合治理项目、农村人居环境整治提升项目、南昌县农业面源污染防治项目共</w:t>
      </w:r>
      <w:r>
        <w:t>6</w:t>
      </w:r>
      <w:r>
        <w:rPr>
          <w:rFonts w:hint="eastAsia"/>
        </w:rPr>
        <w:t>个重点项目，主要涉及小蓝经开区、富山乡、东新乡、八一乡、武阳镇、泾口乡、蒋巷镇等乡镇。</w:t>
      </w:r>
    </w:p>
    <w:bookmarkEnd w:id="172"/>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871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000" w:type="pct"/>
            <w:vAlign w:val="center"/>
          </w:tcPr>
          <w:p w14:paraId="4101277F">
            <w:pPr>
              <w:spacing w:before="0" w:after="0" w:line="240" w:lineRule="auto"/>
              <w:ind w:firstLine="0" w:firstLineChars="0"/>
              <w:jc w:val="center"/>
              <w:rPr>
                <w:rFonts w:hAnsi="Times New Roman"/>
                <w:b/>
                <w:bCs/>
                <w:kern w:val="0"/>
                <w:sz w:val="24"/>
                <w:szCs w:val="24"/>
                <w:lang w:bidi="ar"/>
              </w:rPr>
            </w:pPr>
            <w:r>
              <w:rPr>
                <w:rFonts w:hint="eastAsia" w:hAnsi="Times New Roman"/>
                <w:b/>
                <w:bCs/>
                <w:kern w:val="0"/>
                <w:sz w:val="24"/>
                <w:szCs w:val="24"/>
                <w:lang w:bidi="ar"/>
              </w:rPr>
              <w:t>专栏</w:t>
            </w:r>
            <w:r>
              <w:rPr>
                <w:rFonts w:hAnsi="Times New Roman"/>
                <w:b/>
                <w:bCs/>
                <w:kern w:val="0"/>
                <w:sz w:val="24"/>
                <w:szCs w:val="24"/>
                <w:lang w:bidi="ar"/>
              </w:rPr>
              <w:t xml:space="preserve">5-6  </w:t>
            </w:r>
            <w:r>
              <w:rPr>
                <w:rFonts w:hint="eastAsia" w:hAnsi="Times New Roman"/>
                <w:b/>
                <w:bCs/>
                <w:kern w:val="0"/>
                <w:sz w:val="24"/>
                <w:szCs w:val="24"/>
                <w:lang w:bidi="ar"/>
              </w:rPr>
              <w:t>城乡生态网络连通与人居环境改善工程</w:t>
            </w:r>
          </w:p>
        </w:tc>
      </w:tr>
      <w:tr w14:paraId="5C91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B20CDE2">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1</w:t>
            </w:r>
            <w:r>
              <w:rPr>
                <w:rFonts w:hAnsi="Times New Roman"/>
                <w:b/>
                <w:bCs/>
                <w:kern w:val="0"/>
                <w:sz w:val="24"/>
                <w:szCs w:val="24"/>
                <w:lang w:bidi="ar"/>
              </w:rPr>
              <w:t>.</w:t>
            </w:r>
            <w:r>
              <w:rPr>
                <w:rFonts w:hint="eastAsia" w:hAnsi="Times New Roman"/>
                <w:b/>
                <w:bCs/>
                <w:kern w:val="0"/>
                <w:sz w:val="24"/>
                <w:szCs w:val="24"/>
                <w:lang w:bidi="ar"/>
              </w:rPr>
              <w:t>雁沙湖公园生态修复项目</w:t>
            </w:r>
          </w:p>
          <w:p w14:paraId="715BAEE9">
            <w:pPr>
              <w:spacing w:before="0" w:after="0"/>
              <w:ind w:firstLine="0" w:firstLineChars="0"/>
              <w:rPr>
                <w:sz w:val="24"/>
                <w:szCs w:val="24"/>
              </w:rPr>
            </w:pPr>
            <w:r>
              <w:rPr>
                <w:rFonts w:hint="eastAsia"/>
                <w:b/>
                <w:bCs/>
                <w:sz w:val="24"/>
                <w:szCs w:val="24"/>
              </w:rPr>
              <w:t>主要任务：</w:t>
            </w:r>
            <w:r>
              <w:rPr>
                <w:rFonts w:hint="eastAsia"/>
                <w:sz w:val="24"/>
                <w:szCs w:val="24"/>
              </w:rPr>
              <w:t>修复治理雁沙湖公园约</w:t>
            </w:r>
            <w:r>
              <w:rPr>
                <w:sz w:val="24"/>
                <w:szCs w:val="24"/>
              </w:rPr>
              <w:t>9.7万m</w:t>
            </w:r>
            <w:r>
              <w:rPr>
                <w:rFonts w:ascii="Calibri" w:hAnsi="Calibri" w:cs="Calibri"/>
                <w:sz w:val="24"/>
                <w:szCs w:val="24"/>
              </w:rPr>
              <w:t>²</w:t>
            </w:r>
            <w:r>
              <w:rPr>
                <w:rFonts w:hint="eastAsia"/>
                <w:sz w:val="24"/>
                <w:szCs w:val="24"/>
              </w:rPr>
              <w:t>水域，对公园明渠进行水体生物活化修复，治理后连续</w:t>
            </w:r>
            <w:r>
              <w:rPr>
                <w:sz w:val="24"/>
                <w:szCs w:val="24"/>
              </w:rPr>
              <w:t>12个月内达到IV类水质及以上标准。</w:t>
            </w:r>
          </w:p>
        </w:tc>
      </w:tr>
      <w:tr w14:paraId="6370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9DEB3AF">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2</w:t>
            </w:r>
            <w:r>
              <w:rPr>
                <w:rFonts w:hAnsi="Times New Roman"/>
                <w:b/>
                <w:bCs/>
                <w:kern w:val="0"/>
                <w:sz w:val="24"/>
                <w:szCs w:val="24"/>
                <w:lang w:bidi="ar"/>
              </w:rPr>
              <w:t>.</w:t>
            </w:r>
            <w:r>
              <w:rPr>
                <w:rFonts w:hint="eastAsia" w:hAnsi="Times New Roman"/>
                <w:b/>
                <w:bCs/>
                <w:kern w:val="0"/>
                <w:sz w:val="24"/>
                <w:szCs w:val="24"/>
                <w:lang w:bidi="ar"/>
              </w:rPr>
              <w:t>抚河故道湿地郊野公园建设项目</w:t>
            </w:r>
          </w:p>
          <w:p w14:paraId="508D2DDF">
            <w:pPr>
              <w:spacing w:before="0" w:after="0"/>
              <w:ind w:firstLine="0" w:firstLineChars="0"/>
              <w:rPr>
                <w:rFonts w:ascii="Times New Roman" w:hAnsi="Times New Roman" w:eastAsia="仿宋"/>
                <w:b/>
                <w:bCs/>
                <w:kern w:val="0"/>
                <w:sz w:val="24"/>
                <w:szCs w:val="24"/>
                <w:lang w:bidi="ar"/>
              </w:rPr>
            </w:pPr>
            <w:r>
              <w:rPr>
                <w:rFonts w:hint="eastAsia"/>
                <w:b/>
                <w:bCs/>
                <w:sz w:val="24"/>
                <w:szCs w:val="24"/>
              </w:rPr>
              <w:t>主要任务：</w:t>
            </w:r>
            <w:r>
              <w:rPr>
                <w:rFonts w:hint="eastAsia"/>
                <w:sz w:val="24"/>
                <w:szCs w:val="24"/>
              </w:rPr>
              <w:t>以</w:t>
            </w:r>
            <w:r>
              <w:rPr>
                <w:rFonts w:hint="eastAsia" w:hAnsi="Times New Roman"/>
                <w:kern w:val="0"/>
                <w:sz w:val="24"/>
                <w:szCs w:val="24"/>
                <w:lang w:bidi="ar"/>
              </w:rPr>
              <w:t>城市近郊抚河湿地为主体，以坑塘湿地公园为主题，建设郊野生态公园，连通象湖南湿地公园与南昌南外环。项目共修复抚河岸线约</w:t>
            </w:r>
            <w:r>
              <w:rPr>
                <w:rFonts w:hAnsi="Times New Roman"/>
                <w:kern w:val="0"/>
                <w:sz w:val="24"/>
                <w:szCs w:val="24"/>
                <w:lang w:bidi="ar"/>
              </w:rPr>
              <w:t>12公里，修复湿地总面积约13.07平方公里（其中水域面积约5.8平方公里）</w:t>
            </w:r>
            <w:r>
              <w:rPr>
                <w:rFonts w:hint="eastAsia" w:hAnsi="Times New Roman"/>
                <w:kern w:val="0"/>
                <w:sz w:val="24"/>
                <w:szCs w:val="24"/>
                <w:lang w:bidi="ar"/>
              </w:rPr>
              <w:t>。</w:t>
            </w:r>
          </w:p>
        </w:tc>
      </w:tr>
      <w:tr w14:paraId="7216B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407E1AF">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3</w:t>
            </w:r>
            <w:r>
              <w:rPr>
                <w:rFonts w:hAnsi="Times New Roman"/>
                <w:b/>
                <w:bCs/>
                <w:kern w:val="0"/>
                <w:sz w:val="24"/>
                <w:szCs w:val="24"/>
                <w:lang w:bidi="ar"/>
              </w:rPr>
              <w:t>.</w:t>
            </w:r>
            <w:r>
              <w:rPr>
                <w:rFonts w:hint="eastAsia" w:hAnsi="Times New Roman"/>
                <w:b/>
                <w:bCs/>
                <w:kern w:val="0"/>
                <w:sz w:val="24"/>
                <w:szCs w:val="24"/>
                <w:lang w:bidi="ar"/>
              </w:rPr>
              <w:t>城市公园改造提升项目</w:t>
            </w:r>
          </w:p>
          <w:p w14:paraId="467A843A">
            <w:pPr>
              <w:spacing w:before="0" w:after="0"/>
              <w:ind w:firstLine="0" w:firstLineChars="0"/>
              <w:rPr>
                <w:sz w:val="24"/>
                <w:szCs w:val="24"/>
              </w:rPr>
            </w:pPr>
            <w:r>
              <w:rPr>
                <w:rFonts w:hint="eastAsia"/>
                <w:b/>
                <w:bCs/>
                <w:sz w:val="24"/>
                <w:szCs w:val="24"/>
              </w:rPr>
              <w:t>主要任务：</w:t>
            </w:r>
            <w:r>
              <w:rPr>
                <w:rFonts w:hint="eastAsia"/>
                <w:sz w:val="24"/>
                <w:szCs w:val="24"/>
              </w:rPr>
              <w:t>对玉鸾湖、澄碧湖、梅湖、银湖、莲溪湖等城区内湖绿地公园进行改造提升，结合赣抚水系连通工程，串联城区绿地系统。构建水生植被群落，建设生态浮岛，净化水土水质，恢复陆生植被，建立陆生植被景观带，建设亲水平台和自然植被护岸。</w:t>
            </w:r>
          </w:p>
        </w:tc>
      </w:tr>
      <w:tr w14:paraId="340F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0168B4E">
            <w:pPr>
              <w:spacing w:beforeLines="50" w:after="0"/>
              <w:ind w:firstLine="0" w:firstLineChars="0"/>
              <w:jc w:val="left"/>
              <w:rPr>
                <w:rFonts w:hAnsi="Times New Roman"/>
                <w:b/>
                <w:bCs/>
                <w:kern w:val="0"/>
                <w:sz w:val="24"/>
                <w:szCs w:val="24"/>
                <w:lang w:bidi="ar"/>
              </w:rPr>
            </w:pPr>
            <w:r>
              <w:rPr>
                <w:rFonts w:hint="eastAsia" w:hAnsi="Times New Roman"/>
                <w:b/>
                <w:bCs/>
                <w:kern w:val="0"/>
                <w:sz w:val="24"/>
                <w:szCs w:val="24"/>
                <w:lang w:bidi="ar"/>
              </w:rPr>
              <w:t>4</w:t>
            </w:r>
            <w:r>
              <w:rPr>
                <w:rFonts w:hAnsi="Times New Roman"/>
                <w:b/>
                <w:bCs/>
                <w:kern w:val="0"/>
                <w:sz w:val="24"/>
                <w:szCs w:val="24"/>
                <w:lang w:bidi="ar"/>
              </w:rPr>
              <w:t>.</w:t>
            </w:r>
            <w:r>
              <w:rPr>
                <w:rFonts w:hint="eastAsia" w:hAnsi="Times New Roman"/>
                <w:b/>
                <w:bCs/>
                <w:kern w:val="0"/>
                <w:sz w:val="24"/>
                <w:szCs w:val="24"/>
                <w:lang w:bidi="ar"/>
              </w:rPr>
              <w:t>南昌县赣江岸线生态综合治理项目</w:t>
            </w:r>
          </w:p>
          <w:p w14:paraId="669F4CF8">
            <w:pPr>
              <w:spacing w:before="0" w:after="0"/>
              <w:ind w:firstLine="0" w:firstLineChars="0"/>
              <w:rPr>
                <w:rFonts w:ascii="Times New Roman" w:hAnsi="Times New Roman"/>
                <w:b/>
                <w:bCs/>
                <w:kern w:val="0"/>
                <w:sz w:val="24"/>
                <w:szCs w:val="24"/>
                <w:lang w:bidi="ar"/>
              </w:rPr>
            </w:pPr>
            <w:r>
              <w:rPr>
                <w:rFonts w:hint="eastAsia"/>
                <w:b/>
                <w:bCs/>
                <w:sz w:val="24"/>
                <w:szCs w:val="24"/>
              </w:rPr>
              <w:t>主要任务：</w:t>
            </w:r>
            <w:r>
              <w:rPr>
                <w:rFonts w:hint="eastAsia"/>
                <w:sz w:val="24"/>
                <w:szCs w:val="24"/>
              </w:rPr>
              <w:t>依托县域生态资源与山水格局，重点开展赣江岸线生态综合整治，规划建设滨江观光绿道</w:t>
            </w:r>
            <w:r>
              <w:rPr>
                <w:sz w:val="24"/>
                <w:szCs w:val="24"/>
              </w:rPr>
              <w:t>2条，共80km；滨水休闲绿道14条，共220km；都市景观绿道10条，共200km；建设邮票绿地148处，总面积78.62公顷</w:t>
            </w:r>
            <w:r>
              <w:rPr>
                <w:rFonts w:hint="eastAsia"/>
                <w:sz w:val="24"/>
                <w:szCs w:val="24"/>
              </w:rPr>
              <w:t>。项目的实施将进一步</w:t>
            </w:r>
            <w:r>
              <w:rPr>
                <w:sz w:val="24"/>
                <w:szCs w:val="24"/>
              </w:rPr>
              <w:t>串联县域各城市组团，打造城乡绿地景观体系，改善城市微观生态环境，提高城市景观形象。</w:t>
            </w:r>
          </w:p>
        </w:tc>
      </w:tr>
      <w:tr w14:paraId="6EBC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0348EB8">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5.</w:t>
            </w:r>
            <w:r>
              <w:rPr>
                <w:rFonts w:hint="eastAsia" w:hAnsi="Times New Roman"/>
                <w:b/>
                <w:bCs/>
                <w:kern w:val="0"/>
                <w:sz w:val="24"/>
                <w:szCs w:val="24"/>
                <w:lang w:bidi="ar"/>
              </w:rPr>
              <w:t>农村人居环境整治提升项目</w:t>
            </w:r>
          </w:p>
          <w:p w14:paraId="7FF948DC">
            <w:pPr>
              <w:spacing w:before="0" w:after="0"/>
              <w:ind w:firstLine="0" w:firstLineChars="0"/>
              <w:rPr>
                <w:rFonts w:hAnsi="Times New Roman"/>
                <w:b/>
                <w:bCs/>
                <w:kern w:val="0"/>
                <w:sz w:val="24"/>
                <w:szCs w:val="24"/>
                <w:lang w:bidi="ar"/>
              </w:rPr>
            </w:pPr>
            <w:r>
              <w:rPr>
                <w:rFonts w:hint="eastAsia"/>
                <w:b/>
                <w:bCs/>
                <w:sz w:val="24"/>
                <w:szCs w:val="24"/>
              </w:rPr>
              <w:t>主要任务：</w:t>
            </w:r>
            <w:r>
              <w:rPr>
                <w:rFonts w:hint="eastAsia"/>
                <w:sz w:val="24"/>
                <w:szCs w:val="24"/>
              </w:rPr>
              <w:t>围绕“百园百村”活动，</w:t>
            </w:r>
            <w:r>
              <w:rPr>
                <w:sz w:val="24"/>
                <w:szCs w:val="24"/>
              </w:rPr>
              <w:t>高质量推进2条精品线、53个新农村建设提升点、290个一般村点的整治建设，重点打造南昌县昌万公路、南昌县万八公路等美丽风景示范线。加强农村生活污水处理设施及配套管网建设，重点推进1000人以上村庄和环鄱阳湖300米以内所有村庄的生活污水处理设施建设</w:t>
            </w:r>
            <w:r>
              <w:rPr>
                <w:rFonts w:hint="eastAsia"/>
                <w:sz w:val="24"/>
                <w:szCs w:val="24"/>
              </w:rPr>
              <w:t>。</w:t>
            </w:r>
          </w:p>
        </w:tc>
      </w:tr>
      <w:tr w14:paraId="6FFE5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6D276DA7">
            <w:pPr>
              <w:spacing w:beforeLines="50" w:after="0"/>
              <w:ind w:firstLine="0" w:firstLineChars="0"/>
              <w:jc w:val="left"/>
              <w:rPr>
                <w:rFonts w:hAnsi="Times New Roman"/>
                <w:b/>
                <w:bCs/>
                <w:kern w:val="0"/>
                <w:sz w:val="24"/>
                <w:szCs w:val="24"/>
                <w:lang w:bidi="ar"/>
              </w:rPr>
            </w:pPr>
            <w:r>
              <w:rPr>
                <w:rFonts w:hAnsi="Times New Roman"/>
                <w:b/>
                <w:bCs/>
                <w:kern w:val="0"/>
                <w:sz w:val="24"/>
                <w:szCs w:val="24"/>
                <w:lang w:bidi="ar"/>
              </w:rPr>
              <w:t>6.</w:t>
            </w:r>
            <w:r>
              <w:rPr>
                <w:rFonts w:hint="eastAsia" w:hAnsi="Times New Roman"/>
                <w:b/>
                <w:bCs/>
                <w:kern w:val="0"/>
                <w:sz w:val="24"/>
                <w:szCs w:val="24"/>
                <w:lang w:bidi="ar"/>
              </w:rPr>
              <w:t>南昌县农业面源污染防治项目</w:t>
            </w:r>
          </w:p>
          <w:p w14:paraId="778A0CFF">
            <w:pPr>
              <w:spacing w:before="0" w:after="0"/>
              <w:ind w:firstLine="0" w:firstLineChars="0"/>
              <w:rPr>
                <w:rFonts w:hAnsi="Times New Roman"/>
                <w:b/>
                <w:bCs/>
                <w:kern w:val="0"/>
                <w:sz w:val="24"/>
                <w:szCs w:val="24"/>
                <w:lang w:bidi="ar"/>
              </w:rPr>
            </w:pPr>
            <w:r>
              <w:rPr>
                <w:rFonts w:hint="eastAsia"/>
                <w:b/>
                <w:bCs/>
                <w:sz w:val="24"/>
                <w:szCs w:val="24"/>
              </w:rPr>
              <w:t>主要任务：</w:t>
            </w:r>
            <w:r>
              <w:rPr>
                <w:rFonts w:hint="eastAsia" w:cs="仿宋_GB2312"/>
                <w:sz w:val="24"/>
                <w:szCs w:val="24"/>
              </w:rPr>
              <w:t>重点在蒋巷、武阳各建立</w:t>
            </w:r>
            <w:r>
              <w:rPr>
                <w:sz w:val="24"/>
                <w:szCs w:val="24"/>
              </w:rPr>
              <w:t>1个千亩以上集中连片的核心示范区，以点带面促进全县秸秆综合利用全面开展</w:t>
            </w:r>
            <w:r>
              <w:rPr>
                <w:rFonts w:hint="eastAsia"/>
                <w:sz w:val="24"/>
                <w:szCs w:val="24"/>
              </w:rPr>
              <w:t>。重点解决化肥农药等农业投入品过量使用问题。推广农业清洁生产技术，采用测土配方技术，优化肥料结构，增施有机肥，提高肥料利用率，减少肥料流失。采用</w:t>
            </w:r>
            <w:r>
              <w:rPr>
                <w:sz w:val="24"/>
                <w:szCs w:val="24"/>
              </w:rPr>
              <w:t>秸秆还田、青贮氨化、气化固化等综合利用技术，实现</w:t>
            </w:r>
            <w:r>
              <w:rPr>
                <w:rFonts w:hint="eastAsia"/>
                <w:sz w:val="24"/>
                <w:szCs w:val="24"/>
                <w:lang w:eastAsia="zh-CN"/>
              </w:rPr>
              <w:t>秸秆</w:t>
            </w:r>
            <w:r>
              <w:rPr>
                <w:sz w:val="24"/>
                <w:szCs w:val="24"/>
              </w:rPr>
              <w:t>多层次资源化利用</w:t>
            </w:r>
            <w:r>
              <w:rPr>
                <w:rFonts w:hint="eastAsia"/>
                <w:sz w:val="24"/>
                <w:szCs w:val="24"/>
              </w:rPr>
              <w:t>。</w:t>
            </w:r>
            <w:r>
              <w:rPr>
                <w:sz w:val="24"/>
                <w:szCs w:val="24"/>
              </w:rPr>
              <w:t>对与群众生产、生活密切相关的</w:t>
            </w:r>
            <w:r>
              <w:rPr>
                <w:rFonts w:hint="eastAsia"/>
                <w:sz w:val="24"/>
                <w:szCs w:val="24"/>
              </w:rPr>
              <w:t>门塘、坑塘</w:t>
            </w:r>
            <w:r>
              <w:rPr>
                <w:sz w:val="24"/>
                <w:szCs w:val="24"/>
              </w:rPr>
              <w:t>进行整治</w:t>
            </w:r>
            <w:r>
              <w:rPr>
                <w:rFonts w:hint="eastAsia"/>
                <w:sz w:val="24"/>
                <w:szCs w:val="24"/>
              </w:rPr>
              <w:t>，采取模仿自然湿地系统的人工湿地技术，利用“土壤、微生物、植物”的协调作用，通过过滤、吸附、沉淀、离子交换、植物吸收和微生物分解来实现对农业面源污染的治理</w:t>
            </w:r>
            <w:r>
              <w:rPr>
                <w:sz w:val="24"/>
                <w:szCs w:val="24"/>
              </w:rPr>
              <w:t>。</w:t>
            </w:r>
          </w:p>
        </w:tc>
      </w:tr>
    </w:tbl>
    <w:p w14:paraId="7140B45E">
      <w:pPr>
        <w:spacing w:before="240" w:after="240" w:line="578" w:lineRule="auto"/>
        <w:ind w:firstLine="0" w:firstLineChars="0"/>
        <w:jc w:val="center"/>
        <w:outlineLvl w:val="0"/>
        <w:rPr>
          <w:rFonts w:ascii="黑体" w:hAnsi="黑体" w:eastAsia="黑体"/>
          <w:b/>
          <w:bCs/>
          <w:kern w:val="44"/>
          <w:sz w:val="36"/>
          <w:szCs w:val="36"/>
        </w:rPr>
      </w:pPr>
      <w:r>
        <w:rPr>
          <w:szCs w:val="28"/>
        </w:rPr>
        <w:br w:type="page"/>
      </w:r>
      <w:bookmarkStart w:id="202" w:name="_Toc86257463"/>
      <w:bookmarkStart w:id="203" w:name="_Toc73089271"/>
      <w:bookmarkStart w:id="204" w:name="_Toc76497691"/>
      <w:bookmarkStart w:id="205" w:name="_Toc78481236"/>
      <w:bookmarkStart w:id="206" w:name="_Toc131005126"/>
      <w:r>
        <w:rPr>
          <w:rFonts w:hint="eastAsia" w:ascii="黑体" w:hAnsi="黑体" w:eastAsia="黑体"/>
          <w:b/>
          <w:bCs/>
          <w:kern w:val="44"/>
          <w:sz w:val="36"/>
          <w:szCs w:val="36"/>
        </w:rPr>
        <w:t xml:space="preserve">第六章  </w:t>
      </w:r>
      <w:bookmarkEnd w:id="202"/>
      <w:bookmarkEnd w:id="203"/>
      <w:bookmarkEnd w:id="204"/>
      <w:bookmarkEnd w:id="205"/>
      <w:r>
        <w:rPr>
          <w:rFonts w:hint="eastAsia" w:ascii="黑体" w:hAnsi="黑体" w:eastAsia="黑体"/>
          <w:b/>
          <w:bCs/>
          <w:kern w:val="44"/>
          <w:sz w:val="36"/>
          <w:szCs w:val="36"/>
        </w:rPr>
        <w:t>成本效益</w:t>
      </w:r>
      <w:bookmarkEnd w:id="206"/>
    </w:p>
    <w:p w14:paraId="04AF3372">
      <w:pPr>
        <w:spacing w:before="260" w:after="260" w:line="560" w:lineRule="exact"/>
        <w:ind w:firstLine="0" w:firstLineChars="0"/>
        <w:jc w:val="center"/>
        <w:outlineLvl w:val="1"/>
        <w:rPr>
          <w:rFonts w:ascii="黑体" w:hAnsi="黑体" w:eastAsia="黑体" w:cs="仿宋"/>
          <w:b/>
          <w:bCs/>
          <w:sz w:val="32"/>
          <w:szCs w:val="32"/>
        </w:rPr>
      </w:pPr>
      <w:bookmarkStart w:id="207" w:name="_Toc86257464"/>
      <w:bookmarkStart w:id="208" w:name="_Toc76497692"/>
      <w:bookmarkStart w:id="209" w:name="_Toc78481237"/>
      <w:bookmarkStart w:id="210" w:name="_Toc131005127"/>
      <w:r>
        <w:rPr>
          <w:rFonts w:hint="eastAsia" w:ascii="黑体" w:hAnsi="黑体" w:eastAsia="黑体" w:cs="仿宋"/>
          <w:b/>
          <w:bCs/>
          <w:sz w:val="32"/>
          <w:szCs w:val="32"/>
        </w:rPr>
        <w:t>第一节</w:t>
      </w:r>
      <w:r>
        <w:rPr>
          <w:rFonts w:ascii="黑体" w:hAnsi="黑体" w:eastAsia="黑体" w:cs="仿宋"/>
          <w:b/>
          <w:bCs/>
          <w:sz w:val="32"/>
          <w:szCs w:val="32"/>
        </w:rPr>
        <w:t xml:space="preserve"> </w:t>
      </w:r>
      <w:bookmarkEnd w:id="207"/>
      <w:bookmarkEnd w:id="208"/>
      <w:bookmarkEnd w:id="209"/>
      <w:r>
        <w:rPr>
          <w:rFonts w:hint="eastAsia" w:ascii="黑体" w:hAnsi="黑体" w:eastAsia="黑体" w:cs="仿宋"/>
          <w:b/>
          <w:bCs/>
          <w:sz w:val="32"/>
          <w:szCs w:val="32"/>
        </w:rPr>
        <w:t>资金需求</w:t>
      </w:r>
      <w:bookmarkEnd w:id="210"/>
    </w:p>
    <w:p w14:paraId="1F269303">
      <w:pPr>
        <w:spacing w:before="0" w:after="0"/>
        <w:ind w:firstLine="560"/>
      </w:pPr>
      <w:bookmarkStart w:id="211" w:name="_Hlk75714221"/>
      <w:r>
        <w:t>依据行业标准</w:t>
      </w:r>
      <w:r>
        <w:rPr>
          <w:rFonts w:hint="eastAsia"/>
        </w:rPr>
        <w:t>，参考</w:t>
      </w:r>
      <w:r>
        <w:t>相关部门</w:t>
      </w:r>
      <w:r>
        <w:rPr>
          <w:rFonts w:hint="eastAsia"/>
        </w:rPr>
        <w:t>规划投资</w:t>
      </w:r>
      <w:r>
        <w:t>及</w:t>
      </w:r>
      <w:r>
        <w:rPr>
          <w:rFonts w:hint="eastAsia"/>
        </w:rPr>
        <w:t>各类估算依据</w:t>
      </w:r>
      <w:r>
        <w:t>等，针对</w:t>
      </w:r>
      <w:r>
        <w:rPr>
          <w:rFonts w:hint="eastAsia"/>
        </w:rPr>
        <w:t>南昌县</w:t>
      </w:r>
      <w:r>
        <w:t>国土</w:t>
      </w:r>
      <w:r>
        <w:rPr>
          <w:rFonts w:hAnsi="华文中宋"/>
          <w:szCs w:val="28"/>
        </w:rPr>
        <w:t>空间生态修复6</w:t>
      </w:r>
      <w:r>
        <w:rPr>
          <w:rFonts w:hint="eastAsia" w:hAnsi="华文中宋"/>
          <w:szCs w:val="28"/>
        </w:rPr>
        <w:t>大</w:t>
      </w:r>
      <w:r>
        <w:rPr>
          <w:rFonts w:hAnsi="华文中宋"/>
          <w:szCs w:val="28"/>
        </w:rPr>
        <w:t>重点工程35个重点项目，综合运用</w:t>
      </w:r>
      <w:r>
        <w:rPr>
          <w:rFonts w:hint="eastAsia" w:hAnsi="华文中宋"/>
          <w:szCs w:val="28"/>
        </w:rPr>
        <w:t>典型项目分类测算法、系数修正法、特尔斐法</w:t>
      </w:r>
      <w:r>
        <w:rPr>
          <w:rFonts w:hAnsi="华文中宋"/>
          <w:szCs w:val="28"/>
        </w:rPr>
        <w:t>等</w:t>
      </w:r>
      <w:r>
        <w:rPr>
          <w:rFonts w:hint="eastAsia" w:hAnsi="华文中宋"/>
          <w:szCs w:val="28"/>
        </w:rPr>
        <w:t>方法，</w:t>
      </w:r>
      <w:r>
        <w:rPr>
          <w:rFonts w:hAnsi="华文中宋"/>
          <w:szCs w:val="28"/>
        </w:rPr>
        <w:t>初步</w:t>
      </w:r>
      <w:r>
        <w:rPr>
          <w:rFonts w:hint="eastAsia" w:hAnsi="华文中宋"/>
          <w:szCs w:val="28"/>
        </w:rPr>
        <w:t>匡算工程总投资</w:t>
      </w:r>
      <w:r>
        <w:rPr>
          <w:rFonts w:hAnsi="华文中宋"/>
          <w:szCs w:val="28"/>
        </w:rPr>
        <w:t>66.55亿元</w:t>
      </w:r>
      <w:r>
        <w:rPr>
          <w:rFonts w:hint="eastAsia" w:hAnsi="华文中宋"/>
          <w:szCs w:val="28"/>
        </w:rPr>
        <w:t>。</w:t>
      </w:r>
      <w:bookmarkStart w:id="212" w:name="_Hlk124003459"/>
      <w:r>
        <w:rPr>
          <w:rFonts w:hint="eastAsia" w:hAnsi="华文中宋"/>
          <w:szCs w:val="28"/>
        </w:rPr>
        <w:t>其中湿地生态保护修复工程共包含</w:t>
      </w:r>
      <w:r>
        <w:rPr>
          <w:rFonts w:hAnsi="华文中宋"/>
          <w:szCs w:val="28"/>
        </w:rPr>
        <w:t>4</w:t>
      </w:r>
      <w:r>
        <w:rPr>
          <w:rFonts w:hint="eastAsia" w:hAnsi="华文中宋"/>
          <w:szCs w:val="28"/>
        </w:rPr>
        <w:t>个重点项目，项目金额</w:t>
      </w:r>
      <w:r>
        <w:rPr>
          <w:rFonts w:hAnsi="华文中宋"/>
          <w:szCs w:val="28"/>
        </w:rPr>
        <w:t>3.6</w:t>
      </w:r>
      <w:r>
        <w:rPr>
          <w:rFonts w:hint="eastAsia" w:hAnsi="华文中宋"/>
          <w:szCs w:val="28"/>
        </w:rPr>
        <w:t>亿元，占总投资的</w:t>
      </w:r>
      <w:r>
        <w:rPr>
          <w:rFonts w:hAnsi="华文中宋"/>
          <w:szCs w:val="28"/>
        </w:rPr>
        <w:t>5.41</w:t>
      </w:r>
      <w:r>
        <w:rPr>
          <w:rFonts w:hint="eastAsia" w:hAnsi="华文中宋"/>
          <w:szCs w:val="28"/>
        </w:rPr>
        <w:t>%；生物多样性保护工程共包含</w:t>
      </w:r>
      <w:r>
        <w:rPr>
          <w:rFonts w:hAnsi="华文中宋"/>
          <w:szCs w:val="28"/>
        </w:rPr>
        <w:t>5</w:t>
      </w:r>
      <w:r>
        <w:rPr>
          <w:rFonts w:hint="eastAsia" w:hAnsi="华文中宋"/>
          <w:szCs w:val="28"/>
        </w:rPr>
        <w:t>个重点项目，项目金额</w:t>
      </w:r>
      <w:r>
        <w:rPr>
          <w:rFonts w:hAnsi="华文中宋"/>
          <w:szCs w:val="28"/>
        </w:rPr>
        <w:t>1.18</w:t>
      </w:r>
      <w:r>
        <w:rPr>
          <w:rFonts w:hint="eastAsia" w:hAnsi="华文中宋"/>
          <w:szCs w:val="28"/>
        </w:rPr>
        <w:t>亿元，占总投资的</w:t>
      </w:r>
      <w:r>
        <w:rPr>
          <w:rFonts w:hAnsi="华文中宋"/>
          <w:szCs w:val="28"/>
        </w:rPr>
        <w:t>1.77</w:t>
      </w:r>
      <w:r>
        <w:rPr>
          <w:rFonts w:hint="eastAsia" w:hAnsi="华文中宋"/>
          <w:szCs w:val="28"/>
        </w:rPr>
        <w:t>%；水环境综合整治与水系连通工程共包含</w:t>
      </w:r>
      <w:r>
        <w:rPr>
          <w:rFonts w:hAnsi="华文中宋"/>
          <w:szCs w:val="28"/>
        </w:rPr>
        <w:t>9</w:t>
      </w:r>
      <w:r>
        <w:rPr>
          <w:rFonts w:hint="eastAsia" w:hAnsi="华文中宋"/>
          <w:szCs w:val="28"/>
        </w:rPr>
        <w:t>个重点项目，项目金额</w:t>
      </w:r>
      <w:r>
        <w:rPr>
          <w:rFonts w:hAnsi="华文中宋"/>
          <w:szCs w:val="28"/>
        </w:rPr>
        <w:t>32.98</w:t>
      </w:r>
      <w:r>
        <w:rPr>
          <w:rFonts w:hint="eastAsia" w:hAnsi="华文中宋"/>
          <w:szCs w:val="28"/>
        </w:rPr>
        <w:t>亿元，占总投资的4</w:t>
      </w:r>
      <w:r>
        <w:rPr>
          <w:rFonts w:hAnsi="华文中宋"/>
          <w:szCs w:val="28"/>
        </w:rPr>
        <w:t>9.56</w:t>
      </w:r>
      <w:r>
        <w:rPr>
          <w:rFonts w:hint="eastAsia" w:hAnsi="华文中宋"/>
          <w:szCs w:val="28"/>
        </w:rPr>
        <w:t>%；森林资源保护与质量提升工程共包含6个重点项目，项目金额</w:t>
      </w:r>
      <w:r>
        <w:rPr>
          <w:rFonts w:hAnsi="华文中宋"/>
          <w:szCs w:val="28"/>
        </w:rPr>
        <w:t>7.66</w:t>
      </w:r>
      <w:r>
        <w:rPr>
          <w:rFonts w:hint="eastAsia" w:hAnsi="华文中宋"/>
          <w:szCs w:val="28"/>
        </w:rPr>
        <w:t>亿元，占总投资的</w:t>
      </w:r>
      <w:r>
        <w:rPr>
          <w:rFonts w:hAnsi="华文中宋"/>
          <w:szCs w:val="28"/>
        </w:rPr>
        <w:t>11.51</w:t>
      </w:r>
      <w:r>
        <w:rPr>
          <w:rFonts w:hint="eastAsia" w:hAnsi="华文中宋"/>
          <w:szCs w:val="28"/>
        </w:rPr>
        <w:t>%</w:t>
      </w:r>
      <w:bookmarkEnd w:id="212"/>
      <w:r>
        <w:rPr>
          <w:rFonts w:hint="eastAsia" w:hAnsi="华文中宋"/>
          <w:szCs w:val="28"/>
        </w:rPr>
        <w:t>；国土综合整治与农用地生态功能提升工程共包含</w:t>
      </w:r>
      <w:r>
        <w:rPr>
          <w:rFonts w:hAnsi="华文中宋"/>
          <w:szCs w:val="28"/>
        </w:rPr>
        <w:t>5</w:t>
      </w:r>
      <w:r>
        <w:rPr>
          <w:rFonts w:hint="eastAsia" w:hAnsi="华文中宋"/>
          <w:szCs w:val="28"/>
        </w:rPr>
        <w:t>个重点项目，项目金额</w:t>
      </w:r>
      <w:r>
        <w:rPr>
          <w:rFonts w:hAnsi="华文中宋"/>
          <w:szCs w:val="28"/>
        </w:rPr>
        <w:t>5.53</w:t>
      </w:r>
      <w:r>
        <w:rPr>
          <w:rFonts w:hint="eastAsia" w:hAnsi="华文中宋"/>
          <w:szCs w:val="28"/>
        </w:rPr>
        <w:t>亿元，占总投资的</w:t>
      </w:r>
      <w:r>
        <w:rPr>
          <w:rFonts w:hAnsi="华文中宋"/>
          <w:szCs w:val="28"/>
        </w:rPr>
        <w:t>8.31</w:t>
      </w:r>
      <w:r>
        <w:rPr>
          <w:rFonts w:hint="eastAsia" w:hAnsi="华文中宋"/>
          <w:szCs w:val="28"/>
        </w:rPr>
        <w:t>%；城乡生态网络连通与人居环境改善工程共包含</w:t>
      </w:r>
      <w:r>
        <w:rPr>
          <w:rFonts w:hAnsi="华文中宋"/>
          <w:szCs w:val="28"/>
        </w:rPr>
        <w:t>6</w:t>
      </w:r>
      <w:r>
        <w:rPr>
          <w:rFonts w:hint="eastAsia" w:hAnsi="华文中宋"/>
          <w:szCs w:val="28"/>
        </w:rPr>
        <w:t>个重点项目，项目金额</w:t>
      </w:r>
      <w:r>
        <w:rPr>
          <w:rFonts w:hAnsi="华文中宋"/>
          <w:szCs w:val="28"/>
        </w:rPr>
        <w:t>15.60</w:t>
      </w:r>
      <w:r>
        <w:rPr>
          <w:rFonts w:hint="eastAsia" w:hAnsi="华文中宋"/>
          <w:szCs w:val="28"/>
        </w:rPr>
        <w:t>亿元，占总投资的</w:t>
      </w:r>
      <w:r>
        <w:rPr>
          <w:rFonts w:hAnsi="华文中宋"/>
          <w:szCs w:val="28"/>
        </w:rPr>
        <w:t>23.44</w:t>
      </w:r>
      <w:r>
        <w:rPr>
          <w:rFonts w:hint="eastAsia" w:hAnsi="华文中宋"/>
          <w:szCs w:val="28"/>
        </w:rPr>
        <w:t>%。详见表6</w:t>
      </w:r>
      <w:r>
        <w:rPr>
          <w:rFonts w:hAnsi="华文中宋"/>
          <w:szCs w:val="28"/>
        </w:rPr>
        <w:t>-1</w:t>
      </w:r>
      <w:r>
        <w:rPr>
          <w:rFonts w:hint="eastAsia" w:hAnsi="华文中宋"/>
          <w:szCs w:val="28"/>
        </w:rPr>
        <w:t>。</w:t>
      </w:r>
    </w:p>
    <w:p w14:paraId="7C7FF3DF">
      <w:pPr>
        <w:spacing w:before="0" w:after="0"/>
        <w:ind w:firstLine="0" w:firstLineChars="0"/>
        <w:jc w:val="center"/>
        <w:rPr>
          <w:b/>
          <w:bCs/>
        </w:rPr>
      </w:pPr>
      <w:r>
        <w:rPr>
          <w:rFonts w:hint="eastAsia"/>
          <w:b/>
          <w:bCs/>
        </w:rPr>
        <w:t>表</w:t>
      </w:r>
      <w:r>
        <w:rPr>
          <w:b/>
          <w:bCs/>
        </w:rPr>
        <w:t xml:space="preserve">6-1  </w:t>
      </w:r>
      <w:r>
        <w:rPr>
          <w:rFonts w:hint="eastAsia"/>
          <w:b/>
          <w:bCs/>
        </w:rPr>
        <w:t>南昌县生态修复重大工程资金匡算表</w:t>
      </w:r>
    </w:p>
    <w:p w14:paraId="235AF1B6">
      <w:pPr>
        <w:spacing w:before="0" w:after="0"/>
        <w:ind w:firstLine="0" w:firstLineChars="0"/>
        <w:jc w:val="right"/>
        <w:rPr>
          <w:sz w:val="24"/>
          <w:szCs w:val="24"/>
        </w:rPr>
      </w:pPr>
      <w:r>
        <w:rPr>
          <w:rFonts w:hint="eastAsia"/>
          <w:sz w:val="24"/>
          <w:szCs w:val="24"/>
        </w:rPr>
        <w:t>单位：万元、%</w:t>
      </w:r>
    </w:p>
    <w:bookmarkEnd w:id="211"/>
    <w:tbl>
      <w:tblPr>
        <w:tblStyle w:val="21"/>
        <w:tblW w:w="0" w:type="auto"/>
        <w:tblInd w:w="0" w:type="dxa"/>
        <w:tblLayout w:type="fixed"/>
        <w:tblCellMar>
          <w:top w:w="0" w:type="dxa"/>
          <w:left w:w="108" w:type="dxa"/>
          <w:bottom w:w="0" w:type="dxa"/>
          <w:right w:w="108" w:type="dxa"/>
        </w:tblCellMar>
      </w:tblPr>
      <w:tblGrid>
        <w:gridCol w:w="988"/>
        <w:gridCol w:w="3411"/>
        <w:gridCol w:w="942"/>
        <w:gridCol w:w="942"/>
        <w:gridCol w:w="942"/>
        <w:gridCol w:w="1071"/>
      </w:tblGrid>
      <w:tr w14:paraId="2FC4D3E0">
        <w:tblPrEx>
          <w:tblCellMar>
            <w:top w:w="0" w:type="dxa"/>
            <w:left w:w="108" w:type="dxa"/>
            <w:bottom w:w="0" w:type="dxa"/>
            <w:right w:w="108" w:type="dxa"/>
          </w:tblCellMar>
        </w:tblPrEx>
        <w:trPr>
          <w:trHeight w:val="285" w:hRule="atLeast"/>
          <w:tblHeader/>
        </w:trPr>
        <w:tc>
          <w:tcPr>
            <w:tcW w:w="98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D820FF">
            <w:pPr>
              <w:widowControl/>
              <w:spacing w:before="0" w:after="0" w:line="240" w:lineRule="auto"/>
              <w:ind w:firstLine="0" w:firstLineChars="0"/>
              <w:jc w:val="center"/>
              <w:rPr>
                <w:rFonts w:hAnsi="等线" w:cs="宋体"/>
                <w:b/>
                <w:bCs/>
                <w:color w:val="000000"/>
                <w:kern w:val="0"/>
                <w:sz w:val="24"/>
                <w:szCs w:val="24"/>
              </w:rPr>
            </w:pPr>
            <w:bookmarkStart w:id="213" w:name="_Toc86257465"/>
            <w:bookmarkStart w:id="214" w:name="_Toc131005128"/>
            <w:bookmarkStart w:id="215" w:name="_Toc78481240"/>
            <w:r>
              <w:rPr>
                <w:rFonts w:hint="eastAsia" w:hAnsi="等线" w:cs="宋体"/>
                <w:b/>
                <w:bCs/>
                <w:color w:val="000000"/>
                <w:kern w:val="0"/>
                <w:sz w:val="24"/>
                <w:szCs w:val="24"/>
              </w:rPr>
              <w:t>重大工程类别</w:t>
            </w:r>
          </w:p>
        </w:tc>
        <w:tc>
          <w:tcPr>
            <w:tcW w:w="34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6B91AA">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重点项目名称</w:t>
            </w:r>
          </w:p>
        </w:tc>
        <w:tc>
          <w:tcPr>
            <w:tcW w:w="2826" w:type="dxa"/>
            <w:gridSpan w:val="3"/>
            <w:tcBorders>
              <w:top w:val="single" w:color="auto" w:sz="4" w:space="0"/>
              <w:left w:val="nil"/>
              <w:bottom w:val="single" w:color="auto" w:sz="4" w:space="0"/>
              <w:right w:val="single" w:color="auto" w:sz="4" w:space="0"/>
            </w:tcBorders>
            <w:shd w:val="clear" w:color="auto" w:fill="auto"/>
            <w:noWrap/>
            <w:vAlign w:val="center"/>
          </w:tcPr>
          <w:p w14:paraId="37564A24">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资金需求</w:t>
            </w:r>
          </w:p>
        </w:tc>
        <w:tc>
          <w:tcPr>
            <w:tcW w:w="10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E4B90C">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资金占比</w:t>
            </w:r>
          </w:p>
        </w:tc>
      </w:tr>
      <w:tr w14:paraId="44D170F5">
        <w:tblPrEx>
          <w:tblCellMar>
            <w:top w:w="0" w:type="dxa"/>
            <w:left w:w="108" w:type="dxa"/>
            <w:bottom w:w="0" w:type="dxa"/>
            <w:right w:w="108" w:type="dxa"/>
          </w:tblCellMar>
        </w:tblPrEx>
        <w:trPr>
          <w:trHeight w:val="285" w:hRule="atLeast"/>
          <w:tblHeader/>
        </w:trPr>
        <w:tc>
          <w:tcPr>
            <w:tcW w:w="988" w:type="dxa"/>
            <w:vMerge w:val="continue"/>
            <w:tcBorders>
              <w:top w:val="single" w:color="auto" w:sz="4" w:space="0"/>
              <w:left w:val="single" w:color="auto" w:sz="4" w:space="0"/>
              <w:bottom w:val="single" w:color="auto" w:sz="4" w:space="0"/>
              <w:right w:val="single" w:color="auto" w:sz="4" w:space="0"/>
            </w:tcBorders>
            <w:vAlign w:val="center"/>
          </w:tcPr>
          <w:p w14:paraId="40A69C83">
            <w:pPr>
              <w:widowControl/>
              <w:spacing w:before="0" w:after="0" w:line="240" w:lineRule="auto"/>
              <w:ind w:firstLine="0" w:firstLineChars="0"/>
              <w:jc w:val="left"/>
              <w:rPr>
                <w:rFonts w:hAnsi="等线" w:cs="宋体"/>
                <w:b/>
                <w:bCs/>
                <w:color w:val="000000"/>
                <w:kern w:val="0"/>
                <w:sz w:val="24"/>
                <w:szCs w:val="24"/>
              </w:rPr>
            </w:pPr>
          </w:p>
        </w:tc>
        <w:tc>
          <w:tcPr>
            <w:tcW w:w="3411" w:type="dxa"/>
            <w:vMerge w:val="continue"/>
            <w:tcBorders>
              <w:top w:val="single" w:color="auto" w:sz="4" w:space="0"/>
              <w:left w:val="single" w:color="auto" w:sz="4" w:space="0"/>
              <w:bottom w:val="single" w:color="auto" w:sz="4" w:space="0"/>
              <w:right w:val="single" w:color="auto" w:sz="4" w:space="0"/>
            </w:tcBorders>
            <w:vAlign w:val="center"/>
          </w:tcPr>
          <w:p w14:paraId="7B36D4A2">
            <w:pPr>
              <w:widowControl/>
              <w:spacing w:before="0" w:after="0" w:line="240" w:lineRule="auto"/>
              <w:ind w:firstLine="0" w:firstLineChars="0"/>
              <w:jc w:val="left"/>
              <w:rPr>
                <w:rFonts w:hAnsi="等线" w:cs="宋体"/>
                <w:b/>
                <w:bCs/>
                <w:color w:val="000000"/>
                <w:kern w:val="0"/>
                <w:sz w:val="24"/>
                <w:szCs w:val="24"/>
              </w:rPr>
            </w:pPr>
          </w:p>
        </w:tc>
        <w:tc>
          <w:tcPr>
            <w:tcW w:w="942" w:type="dxa"/>
            <w:tcBorders>
              <w:top w:val="nil"/>
              <w:left w:val="nil"/>
              <w:bottom w:val="single" w:color="auto" w:sz="4" w:space="0"/>
              <w:right w:val="single" w:color="auto" w:sz="4" w:space="0"/>
            </w:tcBorders>
            <w:shd w:val="clear" w:color="auto" w:fill="auto"/>
            <w:vAlign w:val="center"/>
          </w:tcPr>
          <w:p w14:paraId="4AAEECA4">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近期</w:t>
            </w:r>
          </w:p>
        </w:tc>
        <w:tc>
          <w:tcPr>
            <w:tcW w:w="942" w:type="dxa"/>
            <w:tcBorders>
              <w:top w:val="nil"/>
              <w:left w:val="nil"/>
              <w:bottom w:val="single" w:color="auto" w:sz="4" w:space="0"/>
              <w:right w:val="single" w:color="auto" w:sz="4" w:space="0"/>
            </w:tcBorders>
            <w:shd w:val="clear" w:color="auto" w:fill="auto"/>
            <w:vAlign w:val="center"/>
          </w:tcPr>
          <w:p w14:paraId="474E8ADE">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中远期</w:t>
            </w:r>
          </w:p>
        </w:tc>
        <w:tc>
          <w:tcPr>
            <w:tcW w:w="942" w:type="dxa"/>
            <w:tcBorders>
              <w:top w:val="nil"/>
              <w:left w:val="nil"/>
              <w:bottom w:val="single" w:color="auto" w:sz="4" w:space="0"/>
              <w:right w:val="single" w:color="auto" w:sz="4" w:space="0"/>
            </w:tcBorders>
            <w:shd w:val="clear" w:color="auto" w:fill="auto"/>
            <w:noWrap/>
            <w:vAlign w:val="center"/>
          </w:tcPr>
          <w:p w14:paraId="01042B2A">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合计</w:t>
            </w:r>
          </w:p>
        </w:tc>
        <w:tc>
          <w:tcPr>
            <w:tcW w:w="1071" w:type="dxa"/>
            <w:vMerge w:val="continue"/>
            <w:tcBorders>
              <w:top w:val="single" w:color="auto" w:sz="4" w:space="0"/>
              <w:left w:val="single" w:color="auto" w:sz="4" w:space="0"/>
              <w:bottom w:val="single" w:color="auto" w:sz="4" w:space="0"/>
              <w:right w:val="single" w:color="auto" w:sz="4" w:space="0"/>
            </w:tcBorders>
            <w:vAlign w:val="center"/>
          </w:tcPr>
          <w:p w14:paraId="70F3EAAF">
            <w:pPr>
              <w:widowControl/>
              <w:spacing w:before="0" w:after="0" w:line="240" w:lineRule="auto"/>
              <w:ind w:firstLine="0" w:firstLineChars="0"/>
              <w:jc w:val="left"/>
              <w:rPr>
                <w:rFonts w:hAnsi="等线" w:cs="宋体"/>
                <w:b/>
                <w:bCs/>
                <w:color w:val="000000"/>
                <w:kern w:val="0"/>
                <w:sz w:val="24"/>
                <w:szCs w:val="24"/>
              </w:rPr>
            </w:pPr>
          </w:p>
        </w:tc>
      </w:tr>
      <w:tr w14:paraId="37DDC169">
        <w:tblPrEx>
          <w:tblCellMar>
            <w:top w:w="0" w:type="dxa"/>
            <w:left w:w="108" w:type="dxa"/>
            <w:bottom w:w="0" w:type="dxa"/>
            <w:right w:w="108" w:type="dxa"/>
          </w:tblCellMar>
        </w:tblPrEx>
        <w:trPr>
          <w:trHeight w:val="285" w:hRule="atLeast"/>
        </w:trPr>
        <w:tc>
          <w:tcPr>
            <w:tcW w:w="988" w:type="dxa"/>
            <w:vMerge w:val="restart"/>
            <w:tcBorders>
              <w:top w:val="nil"/>
              <w:left w:val="single" w:color="auto" w:sz="4" w:space="0"/>
              <w:bottom w:val="single" w:color="auto" w:sz="4" w:space="0"/>
              <w:right w:val="single" w:color="auto" w:sz="4" w:space="0"/>
            </w:tcBorders>
            <w:shd w:val="clear" w:color="auto" w:fill="auto"/>
            <w:vAlign w:val="center"/>
          </w:tcPr>
          <w:p w14:paraId="6D62715C">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湿地生态保护修复工程</w:t>
            </w:r>
          </w:p>
        </w:tc>
        <w:tc>
          <w:tcPr>
            <w:tcW w:w="3411" w:type="dxa"/>
            <w:tcBorders>
              <w:top w:val="nil"/>
              <w:left w:val="nil"/>
              <w:bottom w:val="single" w:color="auto" w:sz="4" w:space="0"/>
              <w:right w:val="single" w:color="auto" w:sz="4" w:space="0"/>
            </w:tcBorders>
            <w:shd w:val="clear" w:color="auto" w:fill="auto"/>
            <w:vAlign w:val="center"/>
          </w:tcPr>
          <w:p w14:paraId="5AE6986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江西南昌三湖地方级湿地公园保护修复项目</w:t>
            </w:r>
          </w:p>
        </w:tc>
        <w:tc>
          <w:tcPr>
            <w:tcW w:w="942" w:type="dxa"/>
            <w:tcBorders>
              <w:top w:val="nil"/>
              <w:left w:val="nil"/>
              <w:bottom w:val="single" w:color="auto" w:sz="4" w:space="0"/>
              <w:right w:val="single" w:color="auto" w:sz="4" w:space="0"/>
            </w:tcBorders>
            <w:shd w:val="clear" w:color="auto" w:fill="auto"/>
            <w:vAlign w:val="center"/>
          </w:tcPr>
          <w:p w14:paraId="0906936D">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5000</w:t>
            </w:r>
          </w:p>
        </w:tc>
        <w:tc>
          <w:tcPr>
            <w:tcW w:w="942" w:type="dxa"/>
            <w:tcBorders>
              <w:top w:val="nil"/>
              <w:left w:val="nil"/>
              <w:bottom w:val="single" w:color="auto" w:sz="4" w:space="0"/>
              <w:right w:val="single" w:color="auto" w:sz="4" w:space="0"/>
            </w:tcBorders>
            <w:shd w:val="clear" w:color="auto" w:fill="auto"/>
            <w:vAlign w:val="center"/>
          </w:tcPr>
          <w:p w14:paraId="6A59F1A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15000</w:t>
            </w:r>
          </w:p>
        </w:tc>
        <w:tc>
          <w:tcPr>
            <w:tcW w:w="942" w:type="dxa"/>
            <w:tcBorders>
              <w:top w:val="nil"/>
              <w:left w:val="nil"/>
              <w:bottom w:val="single" w:color="auto" w:sz="4" w:space="0"/>
              <w:right w:val="single" w:color="auto" w:sz="4" w:space="0"/>
            </w:tcBorders>
            <w:shd w:val="clear" w:color="auto" w:fill="auto"/>
            <w:vAlign w:val="center"/>
          </w:tcPr>
          <w:p w14:paraId="5F7E22A1">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20000</w:t>
            </w:r>
          </w:p>
        </w:tc>
        <w:tc>
          <w:tcPr>
            <w:tcW w:w="1071" w:type="dxa"/>
            <w:tcBorders>
              <w:top w:val="nil"/>
              <w:left w:val="nil"/>
              <w:bottom w:val="single" w:color="auto" w:sz="4" w:space="0"/>
              <w:right w:val="single" w:color="auto" w:sz="4" w:space="0"/>
            </w:tcBorders>
            <w:shd w:val="clear" w:color="auto" w:fill="auto"/>
            <w:vAlign w:val="center"/>
          </w:tcPr>
          <w:p w14:paraId="3473BCF5">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3.01</w:t>
            </w:r>
          </w:p>
        </w:tc>
      </w:tr>
      <w:tr w14:paraId="5F5DE93D">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5B3B4A25">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6F02185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鄱阳湖湿地生态气候监测评估能力提升项目</w:t>
            </w:r>
          </w:p>
        </w:tc>
        <w:tc>
          <w:tcPr>
            <w:tcW w:w="942" w:type="dxa"/>
            <w:tcBorders>
              <w:top w:val="nil"/>
              <w:left w:val="nil"/>
              <w:bottom w:val="single" w:color="auto" w:sz="4" w:space="0"/>
              <w:right w:val="single" w:color="auto" w:sz="4" w:space="0"/>
            </w:tcBorders>
            <w:shd w:val="clear" w:color="auto" w:fill="auto"/>
            <w:vAlign w:val="center"/>
          </w:tcPr>
          <w:p w14:paraId="6C09ED0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1E9169D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6000</w:t>
            </w:r>
          </w:p>
        </w:tc>
        <w:tc>
          <w:tcPr>
            <w:tcW w:w="942" w:type="dxa"/>
            <w:tcBorders>
              <w:top w:val="nil"/>
              <w:left w:val="nil"/>
              <w:bottom w:val="single" w:color="auto" w:sz="4" w:space="0"/>
              <w:right w:val="single" w:color="auto" w:sz="4" w:space="0"/>
            </w:tcBorders>
            <w:shd w:val="clear" w:color="auto" w:fill="auto"/>
            <w:vAlign w:val="center"/>
          </w:tcPr>
          <w:p w14:paraId="41103DFD">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6000</w:t>
            </w:r>
          </w:p>
        </w:tc>
        <w:tc>
          <w:tcPr>
            <w:tcW w:w="1071" w:type="dxa"/>
            <w:tcBorders>
              <w:top w:val="nil"/>
              <w:left w:val="nil"/>
              <w:bottom w:val="single" w:color="auto" w:sz="4" w:space="0"/>
              <w:right w:val="single" w:color="auto" w:sz="4" w:space="0"/>
            </w:tcBorders>
            <w:shd w:val="clear" w:color="auto" w:fill="auto"/>
            <w:vAlign w:val="center"/>
          </w:tcPr>
          <w:p w14:paraId="350B19B0">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0.90</w:t>
            </w:r>
          </w:p>
        </w:tc>
      </w:tr>
      <w:tr w14:paraId="316660F7">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652B99C4">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52E5A29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滨河（湖）生态缓冲带划定与生态修复项目</w:t>
            </w:r>
          </w:p>
        </w:tc>
        <w:tc>
          <w:tcPr>
            <w:tcW w:w="942" w:type="dxa"/>
            <w:tcBorders>
              <w:top w:val="nil"/>
              <w:left w:val="nil"/>
              <w:bottom w:val="single" w:color="auto" w:sz="4" w:space="0"/>
              <w:right w:val="single" w:color="auto" w:sz="4" w:space="0"/>
            </w:tcBorders>
            <w:shd w:val="clear" w:color="auto" w:fill="auto"/>
            <w:vAlign w:val="center"/>
          </w:tcPr>
          <w:p w14:paraId="537625F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1500</w:t>
            </w:r>
          </w:p>
        </w:tc>
        <w:tc>
          <w:tcPr>
            <w:tcW w:w="942" w:type="dxa"/>
            <w:tcBorders>
              <w:top w:val="nil"/>
              <w:left w:val="nil"/>
              <w:bottom w:val="single" w:color="auto" w:sz="4" w:space="0"/>
              <w:right w:val="single" w:color="auto" w:sz="4" w:space="0"/>
            </w:tcBorders>
            <w:shd w:val="clear" w:color="auto" w:fill="auto"/>
            <w:vAlign w:val="center"/>
          </w:tcPr>
          <w:p w14:paraId="630E25D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3500</w:t>
            </w:r>
          </w:p>
        </w:tc>
        <w:tc>
          <w:tcPr>
            <w:tcW w:w="942" w:type="dxa"/>
            <w:tcBorders>
              <w:top w:val="nil"/>
              <w:left w:val="nil"/>
              <w:bottom w:val="single" w:color="auto" w:sz="4" w:space="0"/>
              <w:right w:val="single" w:color="auto" w:sz="4" w:space="0"/>
            </w:tcBorders>
            <w:shd w:val="clear" w:color="auto" w:fill="auto"/>
            <w:vAlign w:val="center"/>
          </w:tcPr>
          <w:p w14:paraId="01558250">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5000</w:t>
            </w:r>
          </w:p>
        </w:tc>
        <w:tc>
          <w:tcPr>
            <w:tcW w:w="1071" w:type="dxa"/>
            <w:tcBorders>
              <w:top w:val="nil"/>
              <w:left w:val="nil"/>
              <w:bottom w:val="single" w:color="auto" w:sz="4" w:space="0"/>
              <w:right w:val="single" w:color="auto" w:sz="4" w:space="0"/>
            </w:tcBorders>
            <w:shd w:val="clear" w:color="auto" w:fill="auto"/>
            <w:vAlign w:val="center"/>
          </w:tcPr>
          <w:p w14:paraId="721827AD">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0.75</w:t>
            </w:r>
          </w:p>
        </w:tc>
      </w:tr>
      <w:tr w14:paraId="5DB07A77">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0B5B9AFD">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7B69B777">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南昌县小微湿地建设项目</w:t>
            </w:r>
          </w:p>
        </w:tc>
        <w:tc>
          <w:tcPr>
            <w:tcW w:w="942" w:type="dxa"/>
            <w:tcBorders>
              <w:top w:val="nil"/>
              <w:left w:val="nil"/>
              <w:bottom w:val="single" w:color="auto" w:sz="4" w:space="0"/>
              <w:right w:val="single" w:color="auto" w:sz="4" w:space="0"/>
            </w:tcBorders>
            <w:shd w:val="clear" w:color="auto" w:fill="auto"/>
            <w:vAlign w:val="center"/>
          </w:tcPr>
          <w:p w14:paraId="06677CA7">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500</w:t>
            </w:r>
          </w:p>
        </w:tc>
        <w:tc>
          <w:tcPr>
            <w:tcW w:w="942" w:type="dxa"/>
            <w:tcBorders>
              <w:top w:val="nil"/>
              <w:left w:val="nil"/>
              <w:bottom w:val="single" w:color="auto" w:sz="4" w:space="0"/>
              <w:right w:val="single" w:color="auto" w:sz="4" w:space="0"/>
            </w:tcBorders>
            <w:shd w:val="clear" w:color="auto" w:fill="auto"/>
            <w:vAlign w:val="center"/>
          </w:tcPr>
          <w:p w14:paraId="45A87D4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4500</w:t>
            </w:r>
          </w:p>
        </w:tc>
        <w:tc>
          <w:tcPr>
            <w:tcW w:w="942" w:type="dxa"/>
            <w:tcBorders>
              <w:top w:val="nil"/>
              <w:left w:val="nil"/>
              <w:bottom w:val="single" w:color="auto" w:sz="4" w:space="0"/>
              <w:right w:val="single" w:color="auto" w:sz="4" w:space="0"/>
            </w:tcBorders>
            <w:shd w:val="clear" w:color="auto" w:fill="auto"/>
            <w:vAlign w:val="center"/>
          </w:tcPr>
          <w:p w14:paraId="403A6F05">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5000</w:t>
            </w:r>
          </w:p>
        </w:tc>
        <w:tc>
          <w:tcPr>
            <w:tcW w:w="1071" w:type="dxa"/>
            <w:tcBorders>
              <w:top w:val="nil"/>
              <w:left w:val="nil"/>
              <w:bottom w:val="single" w:color="auto" w:sz="4" w:space="0"/>
              <w:right w:val="single" w:color="auto" w:sz="4" w:space="0"/>
            </w:tcBorders>
            <w:shd w:val="clear" w:color="auto" w:fill="auto"/>
            <w:vAlign w:val="center"/>
          </w:tcPr>
          <w:p w14:paraId="4940EB60">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0.75</w:t>
            </w:r>
          </w:p>
        </w:tc>
      </w:tr>
      <w:tr w14:paraId="271BD619">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7FF67F2E">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52A984D1">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小计</w:t>
            </w:r>
          </w:p>
        </w:tc>
        <w:tc>
          <w:tcPr>
            <w:tcW w:w="942" w:type="dxa"/>
            <w:tcBorders>
              <w:top w:val="nil"/>
              <w:left w:val="nil"/>
              <w:bottom w:val="single" w:color="auto" w:sz="4" w:space="0"/>
              <w:right w:val="single" w:color="auto" w:sz="4" w:space="0"/>
            </w:tcBorders>
            <w:shd w:val="clear" w:color="auto" w:fill="auto"/>
            <w:vAlign w:val="center"/>
          </w:tcPr>
          <w:p w14:paraId="7F21D683">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7000</w:t>
            </w:r>
          </w:p>
        </w:tc>
        <w:tc>
          <w:tcPr>
            <w:tcW w:w="942" w:type="dxa"/>
            <w:tcBorders>
              <w:top w:val="nil"/>
              <w:left w:val="nil"/>
              <w:bottom w:val="single" w:color="auto" w:sz="4" w:space="0"/>
              <w:right w:val="single" w:color="auto" w:sz="4" w:space="0"/>
            </w:tcBorders>
            <w:shd w:val="clear" w:color="auto" w:fill="auto"/>
            <w:vAlign w:val="center"/>
          </w:tcPr>
          <w:p w14:paraId="195FFF3E">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29000</w:t>
            </w:r>
          </w:p>
        </w:tc>
        <w:tc>
          <w:tcPr>
            <w:tcW w:w="942" w:type="dxa"/>
            <w:tcBorders>
              <w:top w:val="nil"/>
              <w:left w:val="nil"/>
              <w:bottom w:val="single" w:color="auto" w:sz="4" w:space="0"/>
              <w:right w:val="single" w:color="auto" w:sz="4" w:space="0"/>
            </w:tcBorders>
            <w:shd w:val="clear" w:color="auto" w:fill="auto"/>
            <w:vAlign w:val="center"/>
          </w:tcPr>
          <w:p w14:paraId="07F8A7FC">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36000</w:t>
            </w:r>
          </w:p>
        </w:tc>
        <w:tc>
          <w:tcPr>
            <w:tcW w:w="1071" w:type="dxa"/>
            <w:tcBorders>
              <w:top w:val="nil"/>
              <w:left w:val="nil"/>
              <w:bottom w:val="single" w:color="auto" w:sz="4" w:space="0"/>
              <w:right w:val="single" w:color="auto" w:sz="4" w:space="0"/>
            </w:tcBorders>
            <w:shd w:val="clear" w:color="auto" w:fill="auto"/>
            <w:vAlign w:val="center"/>
          </w:tcPr>
          <w:p w14:paraId="6DC349C5">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5.41</w:t>
            </w:r>
          </w:p>
        </w:tc>
      </w:tr>
      <w:tr w14:paraId="62424D8A">
        <w:tblPrEx>
          <w:tblCellMar>
            <w:top w:w="0" w:type="dxa"/>
            <w:left w:w="108" w:type="dxa"/>
            <w:bottom w:w="0" w:type="dxa"/>
            <w:right w:w="108" w:type="dxa"/>
          </w:tblCellMar>
        </w:tblPrEx>
        <w:trPr>
          <w:trHeight w:val="285" w:hRule="atLeast"/>
        </w:trPr>
        <w:tc>
          <w:tcPr>
            <w:tcW w:w="988" w:type="dxa"/>
            <w:vMerge w:val="restart"/>
            <w:tcBorders>
              <w:top w:val="nil"/>
              <w:left w:val="single" w:color="auto" w:sz="4" w:space="0"/>
              <w:bottom w:val="single" w:color="auto" w:sz="4" w:space="0"/>
              <w:right w:val="single" w:color="auto" w:sz="4" w:space="0"/>
            </w:tcBorders>
            <w:shd w:val="clear" w:color="auto" w:fill="auto"/>
            <w:vAlign w:val="center"/>
          </w:tcPr>
          <w:p w14:paraId="1BB8E97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生物多样性保护工程</w:t>
            </w:r>
          </w:p>
        </w:tc>
        <w:tc>
          <w:tcPr>
            <w:tcW w:w="3411" w:type="dxa"/>
            <w:tcBorders>
              <w:top w:val="nil"/>
              <w:left w:val="nil"/>
              <w:bottom w:val="single" w:color="auto" w:sz="4" w:space="0"/>
              <w:right w:val="single" w:color="auto" w:sz="4" w:space="0"/>
            </w:tcBorders>
            <w:shd w:val="clear" w:color="auto" w:fill="auto"/>
            <w:vAlign w:val="center"/>
          </w:tcPr>
          <w:p w14:paraId="0DE99F3C">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珍稀特有物种栖息地保护修复项目</w:t>
            </w:r>
          </w:p>
        </w:tc>
        <w:tc>
          <w:tcPr>
            <w:tcW w:w="942" w:type="dxa"/>
            <w:tcBorders>
              <w:top w:val="nil"/>
              <w:left w:val="nil"/>
              <w:bottom w:val="single" w:color="auto" w:sz="4" w:space="0"/>
              <w:right w:val="single" w:color="auto" w:sz="4" w:space="0"/>
            </w:tcBorders>
            <w:shd w:val="clear" w:color="auto" w:fill="auto"/>
            <w:vAlign w:val="center"/>
          </w:tcPr>
          <w:p w14:paraId="72B465D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1500</w:t>
            </w:r>
          </w:p>
        </w:tc>
        <w:tc>
          <w:tcPr>
            <w:tcW w:w="942" w:type="dxa"/>
            <w:tcBorders>
              <w:top w:val="nil"/>
              <w:left w:val="nil"/>
              <w:bottom w:val="single" w:color="auto" w:sz="4" w:space="0"/>
              <w:right w:val="single" w:color="auto" w:sz="4" w:space="0"/>
            </w:tcBorders>
            <w:shd w:val="clear" w:color="auto" w:fill="auto"/>
            <w:vAlign w:val="center"/>
          </w:tcPr>
          <w:p w14:paraId="72201E91">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3000</w:t>
            </w:r>
          </w:p>
        </w:tc>
        <w:tc>
          <w:tcPr>
            <w:tcW w:w="942" w:type="dxa"/>
            <w:tcBorders>
              <w:top w:val="nil"/>
              <w:left w:val="nil"/>
              <w:bottom w:val="single" w:color="auto" w:sz="4" w:space="0"/>
              <w:right w:val="single" w:color="auto" w:sz="4" w:space="0"/>
            </w:tcBorders>
            <w:shd w:val="clear" w:color="auto" w:fill="auto"/>
            <w:vAlign w:val="center"/>
          </w:tcPr>
          <w:p w14:paraId="6D289E02">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4500</w:t>
            </w:r>
          </w:p>
        </w:tc>
        <w:tc>
          <w:tcPr>
            <w:tcW w:w="1071" w:type="dxa"/>
            <w:tcBorders>
              <w:top w:val="nil"/>
              <w:left w:val="nil"/>
              <w:bottom w:val="single" w:color="auto" w:sz="4" w:space="0"/>
              <w:right w:val="single" w:color="auto" w:sz="4" w:space="0"/>
            </w:tcBorders>
            <w:shd w:val="clear" w:color="auto" w:fill="auto"/>
            <w:vAlign w:val="center"/>
          </w:tcPr>
          <w:p w14:paraId="51D2288A">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0.68</w:t>
            </w:r>
          </w:p>
        </w:tc>
      </w:tr>
      <w:tr w14:paraId="044B2A8D">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573D1FDB">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018BCB8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南昌县野生生物资源调查评估项目</w:t>
            </w:r>
          </w:p>
        </w:tc>
        <w:tc>
          <w:tcPr>
            <w:tcW w:w="942" w:type="dxa"/>
            <w:tcBorders>
              <w:top w:val="nil"/>
              <w:left w:val="nil"/>
              <w:bottom w:val="single" w:color="auto" w:sz="4" w:space="0"/>
              <w:right w:val="single" w:color="auto" w:sz="4" w:space="0"/>
            </w:tcBorders>
            <w:shd w:val="clear" w:color="auto" w:fill="auto"/>
            <w:vAlign w:val="center"/>
          </w:tcPr>
          <w:p w14:paraId="2F37465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200</w:t>
            </w:r>
          </w:p>
        </w:tc>
        <w:tc>
          <w:tcPr>
            <w:tcW w:w="942" w:type="dxa"/>
            <w:tcBorders>
              <w:top w:val="nil"/>
              <w:left w:val="nil"/>
              <w:bottom w:val="single" w:color="auto" w:sz="4" w:space="0"/>
              <w:right w:val="single" w:color="auto" w:sz="4" w:space="0"/>
            </w:tcBorders>
            <w:shd w:val="clear" w:color="auto" w:fill="auto"/>
            <w:vAlign w:val="center"/>
          </w:tcPr>
          <w:p w14:paraId="7694DF37">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762FBCD4">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200</w:t>
            </w:r>
          </w:p>
        </w:tc>
        <w:tc>
          <w:tcPr>
            <w:tcW w:w="1071" w:type="dxa"/>
            <w:tcBorders>
              <w:top w:val="nil"/>
              <w:left w:val="nil"/>
              <w:bottom w:val="single" w:color="auto" w:sz="4" w:space="0"/>
              <w:right w:val="single" w:color="auto" w:sz="4" w:space="0"/>
            </w:tcBorders>
            <w:shd w:val="clear" w:color="auto" w:fill="auto"/>
            <w:vAlign w:val="center"/>
          </w:tcPr>
          <w:p w14:paraId="5C11A8CB">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0.03</w:t>
            </w:r>
          </w:p>
        </w:tc>
      </w:tr>
      <w:tr w14:paraId="56481B3F">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2F449874">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3CC8BC5A">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森林病虫害枯死树木除治项目</w:t>
            </w:r>
          </w:p>
        </w:tc>
        <w:tc>
          <w:tcPr>
            <w:tcW w:w="942" w:type="dxa"/>
            <w:tcBorders>
              <w:top w:val="nil"/>
              <w:left w:val="nil"/>
              <w:bottom w:val="single" w:color="auto" w:sz="4" w:space="0"/>
              <w:right w:val="single" w:color="auto" w:sz="4" w:space="0"/>
            </w:tcBorders>
            <w:shd w:val="clear" w:color="auto" w:fill="auto"/>
            <w:vAlign w:val="center"/>
          </w:tcPr>
          <w:p w14:paraId="37EE6392">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1200</w:t>
            </w:r>
          </w:p>
        </w:tc>
        <w:tc>
          <w:tcPr>
            <w:tcW w:w="942" w:type="dxa"/>
            <w:tcBorders>
              <w:top w:val="nil"/>
              <w:left w:val="nil"/>
              <w:bottom w:val="single" w:color="auto" w:sz="4" w:space="0"/>
              <w:right w:val="single" w:color="auto" w:sz="4" w:space="0"/>
            </w:tcBorders>
            <w:shd w:val="clear" w:color="auto" w:fill="auto"/>
            <w:vAlign w:val="center"/>
          </w:tcPr>
          <w:p w14:paraId="190734FA">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2400</w:t>
            </w:r>
          </w:p>
        </w:tc>
        <w:tc>
          <w:tcPr>
            <w:tcW w:w="942" w:type="dxa"/>
            <w:tcBorders>
              <w:top w:val="nil"/>
              <w:left w:val="nil"/>
              <w:bottom w:val="single" w:color="auto" w:sz="4" w:space="0"/>
              <w:right w:val="single" w:color="auto" w:sz="4" w:space="0"/>
            </w:tcBorders>
            <w:shd w:val="clear" w:color="auto" w:fill="auto"/>
            <w:vAlign w:val="center"/>
          </w:tcPr>
          <w:p w14:paraId="24F6F3D4">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3600</w:t>
            </w:r>
          </w:p>
        </w:tc>
        <w:tc>
          <w:tcPr>
            <w:tcW w:w="1071" w:type="dxa"/>
            <w:tcBorders>
              <w:top w:val="nil"/>
              <w:left w:val="nil"/>
              <w:bottom w:val="single" w:color="auto" w:sz="4" w:space="0"/>
              <w:right w:val="single" w:color="auto" w:sz="4" w:space="0"/>
            </w:tcBorders>
            <w:shd w:val="clear" w:color="auto" w:fill="auto"/>
            <w:vAlign w:val="center"/>
          </w:tcPr>
          <w:p w14:paraId="733068F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0.54</w:t>
            </w:r>
          </w:p>
        </w:tc>
      </w:tr>
      <w:tr w14:paraId="0F4F8A87">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62D7E0CD">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780BDE1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南昌县渔业资源增殖放流项目</w:t>
            </w:r>
          </w:p>
        </w:tc>
        <w:tc>
          <w:tcPr>
            <w:tcW w:w="942" w:type="dxa"/>
            <w:tcBorders>
              <w:top w:val="nil"/>
              <w:left w:val="nil"/>
              <w:bottom w:val="single" w:color="auto" w:sz="4" w:space="0"/>
              <w:right w:val="single" w:color="auto" w:sz="4" w:space="0"/>
            </w:tcBorders>
            <w:shd w:val="clear" w:color="auto" w:fill="auto"/>
            <w:vAlign w:val="center"/>
          </w:tcPr>
          <w:p w14:paraId="466B25B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150</w:t>
            </w:r>
          </w:p>
        </w:tc>
        <w:tc>
          <w:tcPr>
            <w:tcW w:w="942" w:type="dxa"/>
            <w:tcBorders>
              <w:top w:val="nil"/>
              <w:left w:val="nil"/>
              <w:bottom w:val="single" w:color="auto" w:sz="4" w:space="0"/>
              <w:right w:val="single" w:color="auto" w:sz="4" w:space="0"/>
            </w:tcBorders>
            <w:shd w:val="clear" w:color="auto" w:fill="auto"/>
            <w:vAlign w:val="center"/>
          </w:tcPr>
          <w:p w14:paraId="0DA1E65B">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300</w:t>
            </w:r>
          </w:p>
        </w:tc>
        <w:tc>
          <w:tcPr>
            <w:tcW w:w="942" w:type="dxa"/>
            <w:tcBorders>
              <w:top w:val="nil"/>
              <w:left w:val="nil"/>
              <w:bottom w:val="single" w:color="auto" w:sz="4" w:space="0"/>
              <w:right w:val="single" w:color="auto" w:sz="4" w:space="0"/>
            </w:tcBorders>
            <w:shd w:val="clear" w:color="auto" w:fill="auto"/>
            <w:vAlign w:val="center"/>
          </w:tcPr>
          <w:p w14:paraId="62CB3797">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450</w:t>
            </w:r>
          </w:p>
        </w:tc>
        <w:tc>
          <w:tcPr>
            <w:tcW w:w="1071" w:type="dxa"/>
            <w:tcBorders>
              <w:top w:val="nil"/>
              <w:left w:val="nil"/>
              <w:bottom w:val="single" w:color="auto" w:sz="4" w:space="0"/>
              <w:right w:val="single" w:color="auto" w:sz="4" w:space="0"/>
            </w:tcBorders>
            <w:shd w:val="clear" w:color="auto" w:fill="auto"/>
            <w:vAlign w:val="center"/>
          </w:tcPr>
          <w:p w14:paraId="4C046EDE">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0.07</w:t>
            </w:r>
          </w:p>
        </w:tc>
      </w:tr>
      <w:tr w14:paraId="17D21D9A">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51B56EC0">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2F936C22">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外来物种入侵防治项目</w:t>
            </w:r>
          </w:p>
        </w:tc>
        <w:tc>
          <w:tcPr>
            <w:tcW w:w="942" w:type="dxa"/>
            <w:tcBorders>
              <w:top w:val="nil"/>
              <w:left w:val="nil"/>
              <w:bottom w:val="single" w:color="auto" w:sz="4" w:space="0"/>
              <w:right w:val="single" w:color="auto" w:sz="4" w:space="0"/>
            </w:tcBorders>
            <w:shd w:val="clear" w:color="auto" w:fill="auto"/>
            <w:vAlign w:val="center"/>
          </w:tcPr>
          <w:p w14:paraId="100F5712">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1000</w:t>
            </w:r>
          </w:p>
        </w:tc>
        <w:tc>
          <w:tcPr>
            <w:tcW w:w="942" w:type="dxa"/>
            <w:tcBorders>
              <w:top w:val="nil"/>
              <w:left w:val="nil"/>
              <w:bottom w:val="single" w:color="auto" w:sz="4" w:space="0"/>
              <w:right w:val="single" w:color="auto" w:sz="4" w:space="0"/>
            </w:tcBorders>
            <w:shd w:val="clear" w:color="auto" w:fill="auto"/>
            <w:vAlign w:val="center"/>
          </w:tcPr>
          <w:p w14:paraId="1BC75A8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2000</w:t>
            </w:r>
          </w:p>
        </w:tc>
        <w:tc>
          <w:tcPr>
            <w:tcW w:w="942" w:type="dxa"/>
            <w:tcBorders>
              <w:top w:val="nil"/>
              <w:left w:val="nil"/>
              <w:bottom w:val="single" w:color="auto" w:sz="4" w:space="0"/>
              <w:right w:val="single" w:color="auto" w:sz="4" w:space="0"/>
            </w:tcBorders>
            <w:shd w:val="clear" w:color="auto" w:fill="auto"/>
            <w:vAlign w:val="center"/>
          </w:tcPr>
          <w:p w14:paraId="6F5269CE">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3000</w:t>
            </w:r>
          </w:p>
        </w:tc>
        <w:tc>
          <w:tcPr>
            <w:tcW w:w="1071" w:type="dxa"/>
            <w:tcBorders>
              <w:top w:val="nil"/>
              <w:left w:val="nil"/>
              <w:bottom w:val="single" w:color="auto" w:sz="4" w:space="0"/>
              <w:right w:val="single" w:color="auto" w:sz="4" w:space="0"/>
            </w:tcBorders>
            <w:shd w:val="clear" w:color="auto" w:fill="auto"/>
            <w:vAlign w:val="center"/>
          </w:tcPr>
          <w:p w14:paraId="34B30D2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0.45</w:t>
            </w:r>
          </w:p>
        </w:tc>
      </w:tr>
      <w:tr w14:paraId="48DD1D08">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475302C4">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0C4FD41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小计</w:t>
            </w:r>
          </w:p>
        </w:tc>
        <w:tc>
          <w:tcPr>
            <w:tcW w:w="942" w:type="dxa"/>
            <w:tcBorders>
              <w:top w:val="nil"/>
              <w:left w:val="nil"/>
              <w:bottom w:val="single" w:color="auto" w:sz="4" w:space="0"/>
              <w:right w:val="single" w:color="auto" w:sz="4" w:space="0"/>
            </w:tcBorders>
            <w:shd w:val="clear" w:color="auto" w:fill="auto"/>
            <w:vAlign w:val="center"/>
          </w:tcPr>
          <w:p w14:paraId="50F00AEC">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4050</w:t>
            </w:r>
          </w:p>
        </w:tc>
        <w:tc>
          <w:tcPr>
            <w:tcW w:w="942" w:type="dxa"/>
            <w:tcBorders>
              <w:top w:val="nil"/>
              <w:left w:val="nil"/>
              <w:bottom w:val="single" w:color="auto" w:sz="4" w:space="0"/>
              <w:right w:val="single" w:color="auto" w:sz="4" w:space="0"/>
            </w:tcBorders>
            <w:shd w:val="clear" w:color="auto" w:fill="auto"/>
            <w:vAlign w:val="center"/>
          </w:tcPr>
          <w:p w14:paraId="21A8E3B9">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7700</w:t>
            </w:r>
          </w:p>
        </w:tc>
        <w:tc>
          <w:tcPr>
            <w:tcW w:w="942" w:type="dxa"/>
            <w:tcBorders>
              <w:top w:val="nil"/>
              <w:left w:val="nil"/>
              <w:bottom w:val="single" w:color="auto" w:sz="4" w:space="0"/>
              <w:right w:val="single" w:color="auto" w:sz="4" w:space="0"/>
            </w:tcBorders>
            <w:shd w:val="clear" w:color="auto" w:fill="auto"/>
            <w:vAlign w:val="center"/>
          </w:tcPr>
          <w:p w14:paraId="59C33377">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11750</w:t>
            </w:r>
          </w:p>
        </w:tc>
        <w:tc>
          <w:tcPr>
            <w:tcW w:w="1071" w:type="dxa"/>
            <w:tcBorders>
              <w:top w:val="nil"/>
              <w:left w:val="nil"/>
              <w:bottom w:val="single" w:color="auto" w:sz="4" w:space="0"/>
              <w:right w:val="single" w:color="auto" w:sz="4" w:space="0"/>
            </w:tcBorders>
            <w:shd w:val="clear" w:color="auto" w:fill="auto"/>
            <w:vAlign w:val="center"/>
          </w:tcPr>
          <w:p w14:paraId="4A1909EE">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1.77</w:t>
            </w:r>
          </w:p>
        </w:tc>
      </w:tr>
      <w:tr w14:paraId="5E47E087">
        <w:tblPrEx>
          <w:tblCellMar>
            <w:top w:w="0" w:type="dxa"/>
            <w:left w:w="108" w:type="dxa"/>
            <w:bottom w:w="0" w:type="dxa"/>
            <w:right w:w="108" w:type="dxa"/>
          </w:tblCellMar>
        </w:tblPrEx>
        <w:trPr>
          <w:trHeight w:val="285" w:hRule="atLeast"/>
        </w:trPr>
        <w:tc>
          <w:tcPr>
            <w:tcW w:w="988" w:type="dxa"/>
            <w:vMerge w:val="restart"/>
            <w:tcBorders>
              <w:top w:val="nil"/>
              <w:left w:val="single" w:color="auto" w:sz="4" w:space="0"/>
              <w:bottom w:val="single" w:color="auto" w:sz="4" w:space="0"/>
              <w:right w:val="single" w:color="auto" w:sz="4" w:space="0"/>
            </w:tcBorders>
            <w:shd w:val="clear" w:color="auto" w:fill="auto"/>
            <w:vAlign w:val="center"/>
          </w:tcPr>
          <w:p w14:paraId="4040ED74">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水环境综合整治与水系连通工程</w:t>
            </w:r>
          </w:p>
        </w:tc>
        <w:tc>
          <w:tcPr>
            <w:tcW w:w="3411" w:type="dxa"/>
            <w:tcBorders>
              <w:top w:val="nil"/>
              <w:left w:val="nil"/>
              <w:bottom w:val="single" w:color="auto" w:sz="4" w:space="0"/>
              <w:right w:val="single" w:color="auto" w:sz="4" w:space="0"/>
            </w:tcBorders>
            <w:shd w:val="clear" w:color="auto" w:fill="auto"/>
            <w:vAlign w:val="center"/>
          </w:tcPr>
          <w:p w14:paraId="6648D46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抚河下游尾闾综合整治及河湖水系连通项目</w:t>
            </w:r>
          </w:p>
        </w:tc>
        <w:tc>
          <w:tcPr>
            <w:tcW w:w="942" w:type="dxa"/>
            <w:tcBorders>
              <w:top w:val="nil"/>
              <w:left w:val="nil"/>
              <w:bottom w:val="single" w:color="auto" w:sz="4" w:space="0"/>
              <w:right w:val="single" w:color="auto" w:sz="4" w:space="0"/>
            </w:tcBorders>
            <w:shd w:val="clear" w:color="auto" w:fill="auto"/>
            <w:vAlign w:val="center"/>
          </w:tcPr>
          <w:p w14:paraId="2A25F5A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200542</w:t>
            </w:r>
          </w:p>
        </w:tc>
        <w:tc>
          <w:tcPr>
            <w:tcW w:w="942" w:type="dxa"/>
            <w:tcBorders>
              <w:top w:val="nil"/>
              <w:left w:val="nil"/>
              <w:bottom w:val="single" w:color="auto" w:sz="4" w:space="0"/>
              <w:right w:val="single" w:color="auto" w:sz="4" w:space="0"/>
            </w:tcBorders>
            <w:shd w:val="clear" w:color="auto" w:fill="auto"/>
            <w:vAlign w:val="center"/>
          </w:tcPr>
          <w:p w14:paraId="44A4885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004FC3FC">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200542</w:t>
            </w:r>
          </w:p>
        </w:tc>
        <w:tc>
          <w:tcPr>
            <w:tcW w:w="1071" w:type="dxa"/>
            <w:tcBorders>
              <w:top w:val="nil"/>
              <w:left w:val="nil"/>
              <w:bottom w:val="single" w:color="auto" w:sz="4" w:space="0"/>
              <w:right w:val="single" w:color="auto" w:sz="4" w:space="0"/>
            </w:tcBorders>
            <w:shd w:val="clear" w:color="auto" w:fill="auto"/>
            <w:vAlign w:val="center"/>
          </w:tcPr>
          <w:p w14:paraId="689BE8EB">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30.14</w:t>
            </w:r>
          </w:p>
        </w:tc>
      </w:tr>
      <w:tr w14:paraId="5C3558C3">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329FEED5">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2551D8DE">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象湖片区水系连通活化项目</w:t>
            </w:r>
          </w:p>
        </w:tc>
        <w:tc>
          <w:tcPr>
            <w:tcW w:w="942" w:type="dxa"/>
            <w:tcBorders>
              <w:top w:val="nil"/>
              <w:left w:val="nil"/>
              <w:bottom w:val="single" w:color="auto" w:sz="4" w:space="0"/>
              <w:right w:val="single" w:color="auto" w:sz="4" w:space="0"/>
            </w:tcBorders>
            <w:shd w:val="clear" w:color="auto" w:fill="auto"/>
            <w:vAlign w:val="center"/>
          </w:tcPr>
          <w:p w14:paraId="70B03000">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12000</w:t>
            </w:r>
          </w:p>
        </w:tc>
        <w:tc>
          <w:tcPr>
            <w:tcW w:w="942" w:type="dxa"/>
            <w:tcBorders>
              <w:top w:val="nil"/>
              <w:left w:val="nil"/>
              <w:bottom w:val="single" w:color="auto" w:sz="4" w:space="0"/>
              <w:right w:val="single" w:color="auto" w:sz="4" w:space="0"/>
            </w:tcBorders>
            <w:shd w:val="clear" w:color="auto" w:fill="auto"/>
            <w:vAlign w:val="center"/>
          </w:tcPr>
          <w:p w14:paraId="237DF80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5F70909D">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12000</w:t>
            </w:r>
          </w:p>
        </w:tc>
        <w:tc>
          <w:tcPr>
            <w:tcW w:w="1071" w:type="dxa"/>
            <w:tcBorders>
              <w:top w:val="nil"/>
              <w:left w:val="nil"/>
              <w:bottom w:val="single" w:color="auto" w:sz="4" w:space="0"/>
              <w:right w:val="single" w:color="auto" w:sz="4" w:space="0"/>
            </w:tcBorders>
            <w:shd w:val="clear" w:color="auto" w:fill="auto"/>
            <w:vAlign w:val="center"/>
          </w:tcPr>
          <w:p w14:paraId="0EEFE34C">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1.80</w:t>
            </w:r>
          </w:p>
        </w:tc>
      </w:tr>
      <w:tr w14:paraId="23D15A0D">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50C68582">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64625DB1">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雄溪河综合治理及景观提升项目</w:t>
            </w:r>
          </w:p>
        </w:tc>
        <w:tc>
          <w:tcPr>
            <w:tcW w:w="942" w:type="dxa"/>
            <w:tcBorders>
              <w:top w:val="nil"/>
              <w:left w:val="nil"/>
              <w:bottom w:val="single" w:color="auto" w:sz="4" w:space="0"/>
              <w:right w:val="single" w:color="auto" w:sz="4" w:space="0"/>
            </w:tcBorders>
            <w:shd w:val="clear" w:color="auto" w:fill="auto"/>
            <w:vAlign w:val="center"/>
          </w:tcPr>
          <w:p w14:paraId="0C3D8BA0">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4370</w:t>
            </w:r>
          </w:p>
        </w:tc>
        <w:tc>
          <w:tcPr>
            <w:tcW w:w="942" w:type="dxa"/>
            <w:tcBorders>
              <w:top w:val="nil"/>
              <w:left w:val="nil"/>
              <w:bottom w:val="single" w:color="auto" w:sz="4" w:space="0"/>
              <w:right w:val="single" w:color="auto" w:sz="4" w:space="0"/>
            </w:tcBorders>
            <w:shd w:val="clear" w:color="auto" w:fill="auto"/>
            <w:vAlign w:val="center"/>
          </w:tcPr>
          <w:p w14:paraId="7224B4A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7764B20C">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4370</w:t>
            </w:r>
          </w:p>
        </w:tc>
        <w:tc>
          <w:tcPr>
            <w:tcW w:w="1071" w:type="dxa"/>
            <w:tcBorders>
              <w:top w:val="nil"/>
              <w:left w:val="nil"/>
              <w:bottom w:val="single" w:color="auto" w:sz="4" w:space="0"/>
              <w:right w:val="single" w:color="auto" w:sz="4" w:space="0"/>
            </w:tcBorders>
            <w:shd w:val="clear" w:color="auto" w:fill="auto"/>
            <w:vAlign w:val="center"/>
          </w:tcPr>
          <w:p w14:paraId="57B7C4ED">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0.66</w:t>
            </w:r>
          </w:p>
        </w:tc>
      </w:tr>
      <w:tr w14:paraId="1AB9C0DC">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0CE3DCE2">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1D3C06CC">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莲塘河水环境综合整治项目</w:t>
            </w:r>
          </w:p>
        </w:tc>
        <w:tc>
          <w:tcPr>
            <w:tcW w:w="942" w:type="dxa"/>
            <w:tcBorders>
              <w:top w:val="nil"/>
              <w:left w:val="nil"/>
              <w:bottom w:val="single" w:color="auto" w:sz="4" w:space="0"/>
              <w:right w:val="single" w:color="auto" w:sz="4" w:space="0"/>
            </w:tcBorders>
            <w:shd w:val="clear" w:color="auto" w:fill="auto"/>
            <w:vAlign w:val="center"/>
          </w:tcPr>
          <w:p w14:paraId="79EC517E">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5000</w:t>
            </w:r>
          </w:p>
        </w:tc>
        <w:tc>
          <w:tcPr>
            <w:tcW w:w="942" w:type="dxa"/>
            <w:tcBorders>
              <w:top w:val="nil"/>
              <w:left w:val="nil"/>
              <w:bottom w:val="single" w:color="auto" w:sz="4" w:space="0"/>
              <w:right w:val="single" w:color="auto" w:sz="4" w:space="0"/>
            </w:tcBorders>
            <w:shd w:val="clear" w:color="auto" w:fill="auto"/>
            <w:vAlign w:val="center"/>
          </w:tcPr>
          <w:p w14:paraId="095BFA8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03B75734">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5000</w:t>
            </w:r>
          </w:p>
        </w:tc>
        <w:tc>
          <w:tcPr>
            <w:tcW w:w="1071" w:type="dxa"/>
            <w:tcBorders>
              <w:top w:val="nil"/>
              <w:left w:val="nil"/>
              <w:bottom w:val="single" w:color="auto" w:sz="4" w:space="0"/>
              <w:right w:val="single" w:color="auto" w:sz="4" w:space="0"/>
            </w:tcBorders>
            <w:shd w:val="clear" w:color="auto" w:fill="auto"/>
            <w:vAlign w:val="center"/>
          </w:tcPr>
          <w:p w14:paraId="614A5A0B">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0.75</w:t>
            </w:r>
          </w:p>
        </w:tc>
      </w:tr>
      <w:tr w14:paraId="0A934E6F">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424D1C09">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7E7AA795">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象湖及抚河故道生态修复项目</w:t>
            </w:r>
          </w:p>
        </w:tc>
        <w:tc>
          <w:tcPr>
            <w:tcW w:w="942" w:type="dxa"/>
            <w:tcBorders>
              <w:top w:val="nil"/>
              <w:left w:val="nil"/>
              <w:bottom w:val="single" w:color="auto" w:sz="4" w:space="0"/>
              <w:right w:val="single" w:color="auto" w:sz="4" w:space="0"/>
            </w:tcBorders>
            <w:shd w:val="clear" w:color="auto" w:fill="auto"/>
            <w:vAlign w:val="center"/>
          </w:tcPr>
          <w:p w14:paraId="2BE2F485">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4875</w:t>
            </w:r>
          </w:p>
        </w:tc>
        <w:tc>
          <w:tcPr>
            <w:tcW w:w="942" w:type="dxa"/>
            <w:tcBorders>
              <w:top w:val="nil"/>
              <w:left w:val="nil"/>
              <w:bottom w:val="single" w:color="auto" w:sz="4" w:space="0"/>
              <w:right w:val="single" w:color="auto" w:sz="4" w:space="0"/>
            </w:tcBorders>
            <w:shd w:val="clear" w:color="auto" w:fill="auto"/>
            <w:vAlign w:val="center"/>
          </w:tcPr>
          <w:p w14:paraId="10DE5D21">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0980A73E">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4875</w:t>
            </w:r>
          </w:p>
        </w:tc>
        <w:tc>
          <w:tcPr>
            <w:tcW w:w="1071" w:type="dxa"/>
            <w:tcBorders>
              <w:top w:val="nil"/>
              <w:left w:val="nil"/>
              <w:bottom w:val="single" w:color="auto" w:sz="4" w:space="0"/>
              <w:right w:val="single" w:color="auto" w:sz="4" w:space="0"/>
            </w:tcBorders>
            <w:shd w:val="clear" w:color="auto" w:fill="auto"/>
            <w:vAlign w:val="center"/>
          </w:tcPr>
          <w:p w14:paraId="5C8D5902">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0.73</w:t>
            </w:r>
          </w:p>
        </w:tc>
      </w:tr>
      <w:tr w14:paraId="291EC20F">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2B0FF48C">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4EBEE51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南昌县幽兰镇落城湖水生态修复项目</w:t>
            </w:r>
          </w:p>
        </w:tc>
        <w:tc>
          <w:tcPr>
            <w:tcW w:w="942" w:type="dxa"/>
            <w:tcBorders>
              <w:top w:val="nil"/>
              <w:left w:val="nil"/>
              <w:bottom w:val="single" w:color="auto" w:sz="4" w:space="0"/>
              <w:right w:val="single" w:color="auto" w:sz="4" w:space="0"/>
            </w:tcBorders>
            <w:shd w:val="clear" w:color="auto" w:fill="auto"/>
            <w:vAlign w:val="center"/>
          </w:tcPr>
          <w:p w14:paraId="461D9B7D">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40000</w:t>
            </w:r>
          </w:p>
        </w:tc>
        <w:tc>
          <w:tcPr>
            <w:tcW w:w="942" w:type="dxa"/>
            <w:tcBorders>
              <w:top w:val="nil"/>
              <w:left w:val="nil"/>
              <w:bottom w:val="single" w:color="auto" w:sz="4" w:space="0"/>
              <w:right w:val="single" w:color="auto" w:sz="4" w:space="0"/>
            </w:tcBorders>
            <w:shd w:val="clear" w:color="auto" w:fill="auto"/>
            <w:vAlign w:val="center"/>
          </w:tcPr>
          <w:p w14:paraId="1C3CE8F5">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7F27184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40000</w:t>
            </w:r>
          </w:p>
        </w:tc>
        <w:tc>
          <w:tcPr>
            <w:tcW w:w="1071" w:type="dxa"/>
            <w:tcBorders>
              <w:top w:val="nil"/>
              <w:left w:val="nil"/>
              <w:bottom w:val="single" w:color="auto" w:sz="4" w:space="0"/>
              <w:right w:val="single" w:color="auto" w:sz="4" w:space="0"/>
            </w:tcBorders>
            <w:shd w:val="clear" w:color="auto" w:fill="auto"/>
            <w:vAlign w:val="center"/>
          </w:tcPr>
          <w:p w14:paraId="2D32A51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6.01</w:t>
            </w:r>
          </w:p>
        </w:tc>
      </w:tr>
      <w:tr w14:paraId="7F5B38B6">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0B88D785">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2CD8FB9E">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南昌县农村水系综合整治项目</w:t>
            </w:r>
          </w:p>
        </w:tc>
        <w:tc>
          <w:tcPr>
            <w:tcW w:w="942" w:type="dxa"/>
            <w:tcBorders>
              <w:top w:val="nil"/>
              <w:left w:val="nil"/>
              <w:bottom w:val="single" w:color="auto" w:sz="4" w:space="0"/>
              <w:right w:val="single" w:color="auto" w:sz="4" w:space="0"/>
            </w:tcBorders>
            <w:shd w:val="clear" w:color="auto" w:fill="auto"/>
            <w:vAlign w:val="center"/>
          </w:tcPr>
          <w:p w14:paraId="1DF9309E">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05883BD4">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57000</w:t>
            </w:r>
          </w:p>
        </w:tc>
        <w:tc>
          <w:tcPr>
            <w:tcW w:w="942" w:type="dxa"/>
            <w:tcBorders>
              <w:top w:val="nil"/>
              <w:left w:val="nil"/>
              <w:bottom w:val="single" w:color="auto" w:sz="4" w:space="0"/>
              <w:right w:val="single" w:color="auto" w:sz="4" w:space="0"/>
            </w:tcBorders>
            <w:shd w:val="clear" w:color="auto" w:fill="auto"/>
            <w:vAlign w:val="center"/>
          </w:tcPr>
          <w:p w14:paraId="15348C8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57000</w:t>
            </w:r>
          </w:p>
        </w:tc>
        <w:tc>
          <w:tcPr>
            <w:tcW w:w="1071" w:type="dxa"/>
            <w:tcBorders>
              <w:top w:val="nil"/>
              <w:left w:val="nil"/>
              <w:bottom w:val="single" w:color="auto" w:sz="4" w:space="0"/>
              <w:right w:val="single" w:color="auto" w:sz="4" w:space="0"/>
            </w:tcBorders>
            <w:shd w:val="clear" w:color="auto" w:fill="auto"/>
            <w:vAlign w:val="center"/>
          </w:tcPr>
          <w:p w14:paraId="65A0EF01">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8.57</w:t>
            </w:r>
          </w:p>
        </w:tc>
      </w:tr>
      <w:tr w14:paraId="119FAB7D">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400DAF60">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4A69C6B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南昌县水土流失综合治理项目</w:t>
            </w:r>
          </w:p>
        </w:tc>
        <w:tc>
          <w:tcPr>
            <w:tcW w:w="942" w:type="dxa"/>
            <w:tcBorders>
              <w:top w:val="nil"/>
              <w:left w:val="nil"/>
              <w:bottom w:val="single" w:color="auto" w:sz="4" w:space="0"/>
              <w:right w:val="single" w:color="auto" w:sz="4" w:space="0"/>
            </w:tcBorders>
            <w:shd w:val="clear" w:color="auto" w:fill="auto"/>
            <w:vAlign w:val="center"/>
          </w:tcPr>
          <w:p w14:paraId="0710C2D5">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1000</w:t>
            </w:r>
          </w:p>
        </w:tc>
        <w:tc>
          <w:tcPr>
            <w:tcW w:w="942" w:type="dxa"/>
            <w:tcBorders>
              <w:top w:val="nil"/>
              <w:left w:val="nil"/>
              <w:bottom w:val="single" w:color="auto" w:sz="4" w:space="0"/>
              <w:right w:val="single" w:color="auto" w:sz="4" w:space="0"/>
            </w:tcBorders>
            <w:shd w:val="clear" w:color="auto" w:fill="auto"/>
            <w:vAlign w:val="center"/>
          </w:tcPr>
          <w:p w14:paraId="5931DF4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1000</w:t>
            </w:r>
          </w:p>
        </w:tc>
        <w:tc>
          <w:tcPr>
            <w:tcW w:w="942" w:type="dxa"/>
            <w:tcBorders>
              <w:top w:val="nil"/>
              <w:left w:val="nil"/>
              <w:bottom w:val="single" w:color="auto" w:sz="4" w:space="0"/>
              <w:right w:val="single" w:color="auto" w:sz="4" w:space="0"/>
            </w:tcBorders>
            <w:shd w:val="clear" w:color="auto" w:fill="auto"/>
            <w:vAlign w:val="center"/>
          </w:tcPr>
          <w:p w14:paraId="2B37C190">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2000</w:t>
            </w:r>
          </w:p>
        </w:tc>
        <w:tc>
          <w:tcPr>
            <w:tcW w:w="1071" w:type="dxa"/>
            <w:tcBorders>
              <w:top w:val="nil"/>
              <w:left w:val="nil"/>
              <w:bottom w:val="single" w:color="auto" w:sz="4" w:space="0"/>
              <w:right w:val="single" w:color="auto" w:sz="4" w:space="0"/>
            </w:tcBorders>
            <w:shd w:val="clear" w:color="auto" w:fill="auto"/>
            <w:vAlign w:val="center"/>
          </w:tcPr>
          <w:p w14:paraId="3700A52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0.30</w:t>
            </w:r>
          </w:p>
        </w:tc>
      </w:tr>
      <w:tr w14:paraId="6B785961">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54208067">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09A1958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南昌县集中式饮用水水源地达标建设项目</w:t>
            </w:r>
          </w:p>
        </w:tc>
        <w:tc>
          <w:tcPr>
            <w:tcW w:w="942" w:type="dxa"/>
            <w:tcBorders>
              <w:top w:val="nil"/>
              <w:left w:val="nil"/>
              <w:bottom w:val="single" w:color="auto" w:sz="4" w:space="0"/>
              <w:right w:val="single" w:color="auto" w:sz="4" w:space="0"/>
            </w:tcBorders>
            <w:shd w:val="clear" w:color="auto" w:fill="auto"/>
            <w:vAlign w:val="center"/>
          </w:tcPr>
          <w:p w14:paraId="5039D2CA">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4000</w:t>
            </w:r>
          </w:p>
        </w:tc>
        <w:tc>
          <w:tcPr>
            <w:tcW w:w="942" w:type="dxa"/>
            <w:tcBorders>
              <w:top w:val="nil"/>
              <w:left w:val="nil"/>
              <w:bottom w:val="single" w:color="auto" w:sz="4" w:space="0"/>
              <w:right w:val="single" w:color="auto" w:sz="4" w:space="0"/>
            </w:tcBorders>
            <w:shd w:val="clear" w:color="auto" w:fill="auto"/>
            <w:vAlign w:val="center"/>
          </w:tcPr>
          <w:p w14:paraId="6471944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292A00A5">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4000</w:t>
            </w:r>
          </w:p>
        </w:tc>
        <w:tc>
          <w:tcPr>
            <w:tcW w:w="1071" w:type="dxa"/>
            <w:tcBorders>
              <w:top w:val="nil"/>
              <w:left w:val="nil"/>
              <w:bottom w:val="single" w:color="auto" w:sz="4" w:space="0"/>
              <w:right w:val="single" w:color="auto" w:sz="4" w:space="0"/>
            </w:tcBorders>
            <w:shd w:val="clear" w:color="auto" w:fill="auto"/>
            <w:vAlign w:val="center"/>
          </w:tcPr>
          <w:p w14:paraId="04BD9E6B">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0.60</w:t>
            </w:r>
          </w:p>
        </w:tc>
      </w:tr>
      <w:tr w14:paraId="41DE5502">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5C11965E">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45F0EA1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小计</w:t>
            </w:r>
          </w:p>
        </w:tc>
        <w:tc>
          <w:tcPr>
            <w:tcW w:w="942" w:type="dxa"/>
            <w:tcBorders>
              <w:top w:val="nil"/>
              <w:left w:val="nil"/>
              <w:bottom w:val="single" w:color="auto" w:sz="4" w:space="0"/>
              <w:right w:val="single" w:color="auto" w:sz="4" w:space="0"/>
            </w:tcBorders>
            <w:shd w:val="clear" w:color="auto" w:fill="auto"/>
            <w:vAlign w:val="center"/>
          </w:tcPr>
          <w:p w14:paraId="74BF533D">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271787</w:t>
            </w:r>
          </w:p>
        </w:tc>
        <w:tc>
          <w:tcPr>
            <w:tcW w:w="942" w:type="dxa"/>
            <w:tcBorders>
              <w:top w:val="nil"/>
              <w:left w:val="nil"/>
              <w:bottom w:val="single" w:color="auto" w:sz="4" w:space="0"/>
              <w:right w:val="single" w:color="auto" w:sz="4" w:space="0"/>
            </w:tcBorders>
            <w:shd w:val="clear" w:color="auto" w:fill="auto"/>
            <w:vAlign w:val="center"/>
          </w:tcPr>
          <w:p w14:paraId="78929E86">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58000</w:t>
            </w:r>
          </w:p>
        </w:tc>
        <w:tc>
          <w:tcPr>
            <w:tcW w:w="942" w:type="dxa"/>
            <w:tcBorders>
              <w:top w:val="nil"/>
              <w:left w:val="nil"/>
              <w:bottom w:val="single" w:color="auto" w:sz="4" w:space="0"/>
              <w:right w:val="single" w:color="auto" w:sz="4" w:space="0"/>
            </w:tcBorders>
            <w:shd w:val="clear" w:color="auto" w:fill="auto"/>
            <w:vAlign w:val="center"/>
          </w:tcPr>
          <w:p w14:paraId="7544FCF8">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329787</w:t>
            </w:r>
          </w:p>
        </w:tc>
        <w:tc>
          <w:tcPr>
            <w:tcW w:w="1071" w:type="dxa"/>
            <w:tcBorders>
              <w:top w:val="nil"/>
              <w:left w:val="nil"/>
              <w:bottom w:val="single" w:color="auto" w:sz="4" w:space="0"/>
              <w:right w:val="single" w:color="auto" w:sz="4" w:space="0"/>
            </w:tcBorders>
            <w:shd w:val="clear" w:color="auto" w:fill="auto"/>
            <w:vAlign w:val="center"/>
          </w:tcPr>
          <w:p w14:paraId="46D43846">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49.56</w:t>
            </w:r>
          </w:p>
        </w:tc>
      </w:tr>
      <w:tr w14:paraId="35DE0AE0">
        <w:tblPrEx>
          <w:tblCellMar>
            <w:top w:w="0" w:type="dxa"/>
            <w:left w:w="108" w:type="dxa"/>
            <w:bottom w:w="0" w:type="dxa"/>
            <w:right w:w="108" w:type="dxa"/>
          </w:tblCellMar>
        </w:tblPrEx>
        <w:trPr>
          <w:trHeight w:val="285" w:hRule="atLeast"/>
        </w:trPr>
        <w:tc>
          <w:tcPr>
            <w:tcW w:w="988" w:type="dxa"/>
            <w:vMerge w:val="restart"/>
            <w:tcBorders>
              <w:top w:val="nil"/>
              <w:left w:val="single" w:color="auto" w:sz="4" w:space="0"/>
              <w:bottom w:val="single" w:color="auto" w:sz="4" w:space="0"/>
              <w:right w:val="single" w:color="auto" w:sz="4" w:space="0"/>
            </w:tcBorders>
            <w:shd w:val="clear" w:color="auto" w:fill="auto"/>
            <w:vAlign w:val="center"/>
          </w:tcPr>
          <w:p w14:paraId="2987696A">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森林资源保护与质量提升工程</w:t>
            </w:r>
          </w:p>
        </w:tc>
        <w:tc>
          <w:tcPr>
            <w:tcW w:w="3411" w:type="dxa"/>
            <w:tcBorders>
              <w:top w:val="nil"/>
              <w:left w:val="nil"/>
              <w:bottom w:val="single" w:color="auto" w:sz="4" w:space="0"/>
              <w:right w:val="single" w:color="auto" w:sz="4" w:space="0"/>
            </w:tcBorders>
            <w:shd w:val="clear" w:color="auto" w:fill="auto"/>
            <w:vAlign w:val="center"/>
          </w:tcPr>
          <w:p w14:paraId="2CB7B02B">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白虎岭森林提升项目</w:t>
            </w:r>
          </w:p>
        </w:tc>
        <w:tc>
          <w:tcPr>
            <w:tcW w:w="942" w:type="dxa"/>
            <w:tcBorders>
              <w:top w:val="nil"/>
              <w:left w:val="nil"/>
              <w:bottom w:val="single" w:color="auto" w:sz="4" w:space="0"/>
              <w:right w:val="single" w:color="auto" w:sz="4" w:space="0"/>
            </w:tcBorders>
            <w:shd w:val="clear" w:color="auto" w:fill="auto"/>
            <w:vAlign w:val="center"/>
          </w:tcPr>
          <w:p w14:paraId="657343F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426</w:t>
            </w:r>
          </w:p>
        </w:tc>
        <w:tc>
          <w:tcPr>
            <w:tcW w:w="942" w:type="dxa"/>
            <w:tcBorders>
              <w:top w:val="nil"/>
              <w:left w:val="nil"/>
              <w:bottom w:val="single" w:color="auto" w:sz="4" w:space="0"/>
              <w:right w:val="single" w:color="auto" w:sz="4" w:space="0"/>
            </w:tcBorders>
            <w:shd w:val="clear" w:color="auto" w:fill="auto"/>
            <w:vAlign w:val="center"/>
          </w:tcPr>
          <w:p w14:paraId="5E7CD35C">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4AB5C074">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426</w:t>
            </w:r>
          </w:p>
        </w:tc>
        <w:tc>
          <w:tcPr>
            <w:tcW w:w="1071" w:type="dxa"/>
            <w:tcBorders>
              <w:top w:val="nil"/>
              <w:left w:val="nil"/>
              <w:bottom w:val="single" w:color="auto" w:sz="4" w:space="0"/>
              <w:right w:val="single" w:color="auto" w:sz="4" w:space="0"/>
            </w:tcBorders>
            <w:shd w:val="clear" w:color="auto" w:fill="auto"/>
            <w:vAlign w:val="center"/>
          </w:tcPr>
          <w:p w14:paraId="66DD17C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0.06</w:t>
            </w:r>
          </w:p>
        </w:tc>
      </w:tr>
      <w:tr w14:paraId="6EE97176">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127807BD">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1381558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森林创建项目</w:t>
            </w:r>
          </w:p>
        </w:tc>
        <w:tc>
          <w:tcPr>
            <w:tcW w:w="942" w:type="dxa"/>
            <w:tcBorders>
              <w:top w:val="nil"/>
              <w:left w:val="nil"/>
              <w:bottom w:val="single" w:color="auto" w:sz="4" w:space="0"/>
              <w:right w:val="single" w:color="auto" w:sz="4" w:space="0"/>
            </w:tcBorders>
            <w:shd w:val="clear" w:color="auto" w:fill="auto"/>
            <w:vAlign w:val="center"/>
          </w:tcPr>
          <w:p w14:paraId="2F2EA31D">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7500</w:t>
            </w:r>
          </w:p>
        </w:tc>
        <w:tc>
          <w:tcPr>
            <w:tcW w:w="942" w:type="dxa"/>
            <w:tcBorders>
              <w:top w:val="nil"/>
              <w:left w:val="nil"/>
              <w:bottom w:val="single" w:color="auto" w:sz="4" w:space="0"/>
              <w:right w:val="single" w:color="auto" w:sz="4" w:space="0"/>
            </w:tcBorders>
            <w:shd w:val="clear" w:color="auto" w:fill="auto"/>
            <w:vAlign w:val="center"/>
          </w:tcPr>
          <w:p w14:paraId="5A575B9C">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15000</w:t>
            </w:r>
          </w:p>
        </w:tc>
        <w:tc>
          <w:tcPr>
            <w:tcW w:w="942" w:type="dxa"/>
            <w:tcBorders>
              <w:top w:val="nil"/>
              <w:left w:val="nil"/>
              <w:bottom w:val="single" w:color="auto" w:sz="4" w:space="0"/>
              <w:right w:val="single" w:color="auto" w:sz="4" w:space="0"/>
            </w:tcBorders>
            <w:shd w:val="clear" w:color="auto" w:fill="auto"/>
            <w:vAlign w:val="center"/>
          </w:tcPr>
          <w:p w14:paraId="580ECFA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22500</w:t>
            </w:r>
          </w:p>
        </w:tc>
        <w:tc>
          <w:tcPr>
            <w:tcW w:w="1071" w:type="dxa"/>
            <w:tcBorders>
              <w:top w:val="nil"/>
              <w:left w:val="nil"/>
              <w:bottom w:val="single" w:color="auto" w:sz="4" w:space="0"/>
              <w:right w:val="single" w:color="auto" w:sz="4" w:space="0"/>
            </w:tcBorders>
            <w:shd w:val="clear" w:color="auto" w:fill="auto"/>
            <w:vAlign w:val="center"/>
          </w:tcPr>
          <w:p w14:paraId="5DC338B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3.38</w:t>
            </w:r>
          </w:p>
        </w:tc>
      </w:tr>
      <w:tr w14:paraId="0675FFB4">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29767DE6">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5F7DB830">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森林“四化”建设项目</w:t>
            </w:r>
          </w:p>
        </w:tc>
        <w:tc>
          <w:tcPr>
            <w:tcW w:w="942" w:type="dxa"/>
            <w:tcBorders>
              <w:top w:val="nil"/>
              <w:left w:val="nil"/>
              <w:bottom w:val="single" w:color="auto" w:sz="4" w:space="0"/>
              <w:right w:val="single" w:color="auto" w:sz="4" w:space="0"/>
            </w:tcBorders>
            <w:shd w:val="clear" w:color="auto" w:fill="auto"/>
            <w:vAlign w:val="center"/>
          </w:tcPr>
          <w:p w14:paraId="211AAA7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6000</w:t>
            </w:r>
          </w:p>
        </w:tc>
        <w:tc>
          <w:tcPr>
            <w:tcW w:w="942" w:type="dxa"/>
            <w:tcBorders>
              <w:top w:val="nil"/>
              <w:left w:val="nil"/>
              <w:bottom w:val="single" w:color="auto" w:sz="4" w:space="0"/>
              <w:right w:val="single" w:color="auto" w:sz="4" w:space="0"/>
            </w:tcBorders>
            <w:shd w:val="clear" w:color="auto" w:fill="auto"/>
            <w:vAlign w:val="center"/>
          </w:tcPr>
          <w:p w14:paraId="6D2CB107">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12000</w:t>
            </w:r>
          </w:p>
        </w:tc>
        <w:tc>
          <w:tcPr>
            <w:tcW w:w="942" w:type="dxa"/>
            <w:tcBorders>
              <w:top w:val="nil"/>
              <w:left w:val="nil"/>
              <w:bottom w:val="single" w:color="auto" w:sz="4" w:space="0"/>
              <w:right w:val="single" w:color="auto" w:sz="4" w:space="0"/>
            </w:tcBorders>
            <w:shd w:val="clear" w:color="auto" w:fill="auto"/>
            <w:vAlign w:val="center"/>
          </w:tcPr>
          <w:p w14:paraId="7AA89292">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18000</w:t>
            </w:r>
          </w:p>
        </w:tc>
        <w:tc>
          <w:tcPr>
            <w:tcW w:w="1071" w:type="dxa"/>
            <w:tcBorders>
              <w:top w:val="nil"/>
              <w:left w:val="nil"/>
              <w:bottom w:val="single" w:color="auto" w:sz="4" w:space="0"/>
              <w:right w:val="single" w:color="auto" w:sz="4" w:space="0"/>
            </w:tcBorders>
            <w:shd w:val="clear" w:color="auto" w:fill="auto"/>
            <w:vAlign w:val="center"/>
          </w:tcPr>
          <w:p w14:paraId="0210CBF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2.70</w:t>
            </w:r>
          </w:p>
        </w:tc>
      </w:tr>
      <w:tr w14:paraId="53426ED5">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0BC6A79E">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01A2418C">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低产低效林改造项目</w:t>
            </w:r>
          </w:p>
        </w:tc>
        <w:tc>
          <w:tcPr>
            <w:tcW w:w="942" w:type="dxa"/>
            <w:tcBorders>
              <w:top w:val="nil"/>
              <w:left w:val="nil"/>
              <w:bottom w:val="single" w:color="auto" w:sz="4" w:space="0"/>
              <w:right w:val="single" w:color="auto" w:sz="4" w:space="0"/>
            </w:tcBorders>
            <w:shd w:val="clear" w:color="auto" w:fill="auto"/>
            <w:vAlign w:val="center"/>
          </w:tcPr>
          <w:p w14:paraId="3C4E81D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2500</w:t>
            </w:r>
          </w:p>
        </w:tc>
        <w:tc>
          <w:tcPr>
            <w:tcW w:w="942" w:type="dxa"/>
            <w:tcBorders>
              <w:top w:val="nil"/>
              <w:left w:val="nil"/>
              <w:bottom w:val="single" w:color="auto" w:sz="4" w:space="0"/>
              <w:right w:val="single" w:color="auto" w:sz="4" w:space="0"/>
            </w:tcBorders>
            <w:shd w:val="clear" w:color="auto" w:fill="auto"/>
            <w:vAlign w:val="center"/>
          </w:tcPr>
          <w:p w14:paraId="4DBC9FBA">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5000</w:t>
            </w:r>
          </w:p>
        </w:tc>
        <w:tc>
          <w:tcPr>
            <w:tcW w:w="942" w:type="dxa"/>
            <w:tcBorders>
              <w:top w:val="nil"/>
              <w:left w:val="nil"/>
              <w:bottom w:val="single" w:color="auto" w:sz="4" w:space="0"/>
              <w:right w:val="single" w:color="auto" w:sz="4" w:space="0"/>
            </w:tcBorders>
            <w:shd w:val="clear" w:color="auto" w:fill="auto"/>
            <w:vAlign w:val="center"/>
          </w:tcPr>
          <w:p w14:paraId="3055632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7500</w:t>
            </w:r>
          </w:p>
        </w:tc>
        <w:tc>
          <w:tcPr>
            <w:tcW w:w="1071" w:type="dxa"/>
            <w:tcBorders>
              <w:top w:val="nil"/>
              <w:left w:val="nil"/>
              <w:bottom w:val="single" w:color="auto" w:sz="4" w:space="0"/>
              <w:right w:val="single" w:color="auto" w:sz="4" w:space="0"/>
            </w:tcBorders>
            <w:shd w:val="clear" w:color="auto" w:fill="auto"/>
            <w:vAlign w:val="center"/>
          </w:tcPr>
          <w:p w14:paraId="5D0B8D6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1.13</w:t>
            </w:r>
          </w:p>
        </w:tc>
      </w:tr>
      <w:tr w14:paraId="190257E3">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4F302663">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4B7060F4">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冈上镇兴农沙漠森林公园生态修复项目</w:t>
            </w:r>
          </w:p>
        </w:tc>
        <w:tc>
          <w:tcPr>
            <w:tcW w:w="942" w:type="dxa"/>
            <w:tcBorders>
              <w:top w:val="nil"/>
              <w:left w:val="nil"/>
              <w:bottom w:val="single" w:color="auto" w:sz="4" w:space="0"/>
              <w:right w:val="single" w:color="auto" w:sz="4" w:space="0"/>
            </w:tcBorders>
            <w:shd w:val="clear" w:color="auto" w:fill="auto"/>
            <w:vAlign w:val="center"/>
          </w:tcPr>
          <w:p w14:paraId="1C01463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1200</w:t>
            </w:r>
          </w:p>
        </w:tc>
        <w:tc>
          <w:tcPr>
            <w:tcW w:w="942" w:type="dxa"/>
            <w:tcBorders>
              <w:top w:val="nil"/>
              <w:left w:val="nil"/>
              <w:bottom w:val="single" w:color="auto" w:sz="4" w:space="0"/>
              <w:right w:val="single" w:color="auto" w:sz="4" w:space="0"/>
            </w:tcBorders>
            <w:shd w:val="clear" w:color="auto" w:fill="auto"/>
            <w:vAlign w:val="center"/>
          </w:tcPr>
          <w:p w14:paraId="1E3F772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1A933E92">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1200</w:t>
            </w:r>
          </w:p>
        </w:tc>
        <w:tc>
          <w:tcPr>
            <w:tcW w:w="1071" w:type="dxa"/>
            <w:tcBorders>
              <w:top w:val="nil"/>
              <w:left w:val="nil"/>
              <w:bottom w:val="single" w:color="auto" w:sz="4" w:space="0"/>
              <w:right w:val="single" w:color="auto" w:sz="4" w:space="0"/>
            </w:tcBorders>
            <w:shd w:val="clear" w:color="auto" w:fill="auto"/>
            <w:vAlign w:val="center"/>
          </w:tcPr>
          <w:p w14:paraId="4AED6FFD">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0.18</w:t>
            </w:r>
          </w:p>
        </w:tc>
      </w:tr>
      <w:tr w14:paraId="742730A7">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179CD3FD">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4DE3D70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南昌县国土造林绿化项目</w:t>
            </w:r>
          </w:p>
        </w:tc>
        <w:tc>
          <w:tcPr>
            <w:tcW w:w="942" w:type="dxa"/>
            <w:tcBorders>
              <w:top w:val="nil"/>
              <w:left w:val="nil"/>
              <w:bottom w:val="single" w:color="auto" w:sz="4" w:space="0"/>
              <w:right w:val="single" w:color="auto" w:sz="4" w:space="0"/>
            </w:tcBorders>
            <w:shd w:val="clear" w:color="auto" w:fill="auto"/>
            <w:vAlign w:val="center"/>
          </w:tcPr>
          <w:p w14:paraId="4BCA057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9000</w:t>
            </w:r>
          </w:p>
        </w:tc>
        <w:tc>
          <w:tcPr>
            <w:tcW w:w="942" w:type="dxa"/>
            <w:tcBorders>
              <w:top w:val="nil"/>
              <w:left w:val="nil"/>
              <w:bottom w:val="single" w:color="auto" w:sz="4" w:space="0"/>
              <w:right w:val="single" w:color="auto" w:sz="4" w:space="0"/>
            </w:tcBorders>
            <w:shd w:val="clear" w:color="auto" w:fill="auto"/>
            <w:vAlign w:val="center"/>
          </w:tcPr>
          <w:p w14:paraId="5C3CEBC5">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18000</w:t>
            </w:r>
          </w:p>
        </w:tc>
        <w:tc>
          <w:tcPr>
            <w:tcW w:w="942" w:type="dxa"/>
            <w:tcBorders>
              <w:top w:val="nil"/>
              <w:left w:val="nil"/>
              <w:bottom w:val="single" w:color="auto" w:sz="4" w:space="0"/>
              <w:right w:val="single" w:color="auto" w:sz="4" w:space="0"/>
            </w:tcBorders>
            <w:shd w:val="clear" w:color="auto" w:fill="auto"/>
            <w:vAlign w:val="center"/>
          </w:tcPr>
          <w:p w14:paraId="0645B93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27000</w:t>
            </w:r>
          </w:p>
        </w:tc>
        <w:tc>
          <w:tcPr>
            <w:tcW w:w="1071" w:type="dxa"/>
            <w:tcBorders>
              <w:top w:val="nil"/>
              <w:left w:val="nil"/>
              <w:bottom w:val="single" w:color="auto" w:sz="4" w:space="0"/>
              <w:right w:val="single" w:color="auto" w:sz="4" w:space="0"/>
            </w:tcBorders>
            <w:shd w:val="clear" w:color="auto" w:fill="auto"/>
            <w:vAlign w:val="center"/>
          </w:tcPr>
          <w:p w14:paraId="69270B8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4.06</w:t>
            </w:r>
          </w:p>
        </w:tc>
      </w:tr>
      <w:tr w14:paraId="65E74614">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747E16DC">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4744AB62">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小计</w:t>
            </w:r>
          </w:p>
        </w:tc>
        <w:tc>
          <w:tcPr>
            <w:tcW w:w="942" w:type="dxa"/>
            <w:tcBorders>
              <w:top w:val="nil"/>
              <w:left w:val="nil"/>
              <w:bottom w:val="single" w:color="auto" w:sz="4" w:space="0"/>
              <w:right w:val="single" w:color="auto" w:sz="4" w:space="0"/>
            </w:tcBorders>
            <w:shd w:val="clear" w:color="auto" w:fill="auto"/>
            <w:vAlign w:val="center"/>
          </w:tcPr>
          <w:p w14:paraId="36E507EF">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26626</w:t>
            </w:r>
          </w:p>
        </w:tc>
        <w:tc>
          <w:tcPr>
            <w:tcW w:w="942" w:type="dxa"/>
            <w:tcBorders>
              <w:top w:val="nil"/>
              <w:left w:val="nil"/>
              <w:bottom w:val="single" w:color="auto" w:sz="4" w:space="0"/>
              <w:right w:val="single" w:color="auto" w:sz="4" w:space="0"/>
            </w:tcBorders>
            <w:shd w:val="clear" w:color="auto" w:fill="auto"/>
            <w:vAlign w:val="center"/>
          </w:tcPr>
          <w:p w14:paraId="79B63AE6">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50000</w:t>
            </w:r>
          </w:p>
        </w:tc>
        <w:tc>
          <w:tcPr>
            <w:tcW w:w="942" w:type="dxa"/>
            <w:tcBorders>
              <w:top w:val="nil"/>
              <w:left w:val="nil"/>
              <w:bottom w:val="single" w:color="auto" w:sz="4" w:space="0"/>
              <w:right w:val="single" w:color="auto" w:sz="4" w:space="0"/>
            </w:tcBorders>
            <w:shd w:val="clear" w:color="auto" w:fill="auto"/>
            <w:vAlign w:val="center"/>
          </w:tcPr>
          <w:p w14:paraId="2029DC8E">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76626</w:t>
            </w:r>
          </w:p>
        </w:tc>
        <w:tc>
          <w:tcPr>
            <w:tcW w:w="1071" w:type="dxa"/>
            <w:tcBorders>
              <w:top w:val="nil"/>
              <w:left w:val="nil"/>
              <w:bottom w:val="single" w:color="auto" w:sz="4" w:space="0"/>
              <w:right w:val="single" w:color="auto" w:sz="4" w:space="0"/>
            </w:tcBorders>
            <w:shd w:val="clear" w:color="auto" w:fill="auto"/>
            <w:vAlign w:val="center"/>
          </w:tcPr>
          <w:p w14:paraId="68A5830A">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11.51</w:t>
            </w:r>
          </w:p>
        </w:tc>
      </w:tr>
      <w:tr w14:paraId="44F5514D">
        <w:tblPrEx>
          <w:tblCellMar>
            <w:top w:w="0" w:type="dxa"/>
            <w:left w:w="108" w:type="dxa"/>
            <w:bottom w:w="0" w:type="dxa"/>
            <w:right w:w="108" w:type="dxa"/>
          </w:tblCellMar>
        </w:tblPrEx>
        <w:trPr>
          <w:trHeight w:val="285" w:hRule="atLeast"/>
        </w:trPr>
        <w:tc>
          <w:tcPr>
            <w:tcW w:w="988" w:type="dxa"/>
            <w:vMerge w:val="restart"/>
            <w:tcBorders>
              <w:top w:val="nil"/>
              <w:left w:val="single" w:color="auto" w:sz="4" w:space="0"/>
              <w:bottom w:val="single" w:color="auto" w:sz="4" w:space="0"/>
              <w:right w:val="single" w:color="auto" w:sz="4" w:space="0"/>
            </w:tcBorders>
            <w:shd w:val="clear" w:color="auto" w:fill="auto"/>
            <w:vAlign w:val="center"/>
          </w:tcPr>
          <w:p w14:paraId="2F4AB6B5">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国土综合整治与农用地生态功能提升工程</w:t>
            </w:r>
          </w:p>
        </w:tc>
        <w:tc>
          <w:tcPr>
            <w:tcW w:w="3411" w:type="dxa"/>
            <w:tcBorders>
              <w:top w:val="nil"/>
              <w:left w:val="nil"/>
              <w:bottom w:val="single" w:color="auto" w:sz="4" w:space="0"/>
              <w:right w:val="single" w:color="auto" w:sz="4" w:space="0"/>
            </w:tcBorders>
            <w:shd w:val="clear" w:color="auto" w:fill="auto"/>
            <w:vAlign w:val="center"/>
          </w:tcPr>
          <w:p w14:paraId="051CA95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南昌县土壤污染治理与修复项目</w:t>
            </w:r>
          </w:p>
        </w:tc>
        <w:tc>
          <w:tcPr>
            <w:tcW w:w="942" w:type="dxa"/>
            <w:tcBorders>
              <w:top w:val="nil"/>
              <w:left w:val="nil"/>
              <w:bottom w:val="single" w:color="auto" w:sz="4" w:space="0"/>
              <w:right w:val="single" w:color="auto" w:sz="4" w:space="0"/>
            </w:tcBorders>
            <w:shd w:val="clear" w:color="auto" w:fill="auto"/>
            <w:vAlign w:val="center"/>
          </w:tcPr>
          <w:p w14:paraId="162D72AD">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3500</w:t>
            </w:r>
          </w:p>
        </w:tc>
        <w:tc>
          <w:tcPr>
            <w:tcW w:w="942" w:type="dxa"/>
            <w:tcBorders>
              <w:top w:val="nil"/>
              <w:left w:val="nil"/>
              <w:bottom w:val="single" w:color="auto" w:sz="4" w:space="0"/>
              <w:right w:val="single" w:color="auto" w:sz="4" w:space="0"/>
            </w:tcBorders>
            <w:shd w:val="clear" w:color="auto" w:fill="auto"/>
            <w:vAlign w:val="center"/>
          </w:tcPr>
          <w:p w14:paraId="71191180">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43DCD0CE">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3500</w:t>
            </w:r>
          </w:p>
        </w:tc>
        <w:tc>
          <w:tcPr>
            <w:tcW w:w="1071" w:type="dxa"/>
            <w:tcBorders>
              <w:top w:val="nil"/>
              <w:left w:val="nil"/>
              <w:bottom w:val="single" w:color="auto" w:sz="4" w:space="0"/>
              <w:right w:val="single" w:color="auto" w:sz="4" w:space="0"/>
            </w:tcBorders>
            <w:shd w:val="clear" w:color="auto" w:fill="auto"/>
            <w:vAlign w:val="center"/>
          </w:tcPr>
          <w:p w14:paraId="6AFD4631">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0.53</w:t>
            </w:r>
          </w:p>
        </w:tc>
      </w:tr>
      <w:tr w14:paraId="68D0AE71">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1805B661">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412E5691">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南昌县全域土地综合整治项目</w:t>
            </w:r>
          </w:p>
        </w:tc>
        <w:tc>
          <w:tcPr>
            <w:tcW w:w="942" w:type="dxa"/>
            <w:tcBorders>
              <w:top w:val="nil"/>
              <w:left w:val="nil"/>
              <w:bottom w:val="single" w:color="auto" w:sz="4" w:space="0"/>
              <w:right w:val="single" w:color="auto" w:sz="4" w:space="0"/>
            </w:tcBorders>
            <w:shd w:val="clear" w:color="auto" w:fill="auto"/>
            <w:vAlign w:val="center"/>
          </w:tcPr>
          <w:p w14:paraId="5C559CE4">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5000</w:t>
            </w:r>
          </w:p>
        </w:tc>
        <w:tc>
          <w:tcPr>
            <w:tcW w:w="942" w:type="dxa"/>
            <w:tcBorders>
              <w:top w:val="nil"/>
              <w:left w:val="nil"/>
              <w:bottom w:val="single" w:color="auto" w:sz="4" w:space="0"/>
              <w:right w:val="single" w:color="auto" w:sz="4" w:space="0"/>
            </w:tcBorders>
            <w:shd w:val="clear" w:color="auto" w:fill="auto"/>
            <w:vAlign w:val="center"/>
          </w:tcPr>
          <w:p w14:paraId="6010C6BB">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5000</w:t>
            </w:r>
          </w:p>
        </w:tc>
        <w:tc>
          <w:tcPr>
            <w:tcW w:w="942" w:type="dxa"/>
            <w:tcBorders>
              <w:top w:val="nil"/>
              <w:left w:val="nil"/>
              <w:bottom w:val="single" w:color="auto" w:sz="4" w:space="0"/>
              <w:right w:val="single" w:color="auto" w:sz="4" w:space="0"/>
            </w:tcBorders>
            <w:shd w:val="clear" w:color="auto" w:fill="auto"/>
            <w:vAlign w:val="center"/>
          </w:tcPr>
          <w:p w14:paraId="2DA0F96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10000</w:t>
            </w:r>
          </w:p>
        </w:tc>
        <w:tc>
          <w:tcPr>
            <w:tcW w:w="1071" w:type="dxa"/>
            <w:tcBorders>
              <w:top w:val="nil"/>
              <w:left w:val="nil"/>
              <w:bottom w:val="single" w:color="auto" w:sz="4" w:space="0"/>
              <w:right w:val="single" w:color="auto" w:sz="4" w:space="0"/>
            </w:tcBorders>
            <w:shd w:val="clear" w:color="auto" w:fill="auto"/>
            <w:vAlign w:val="center"/>
          </w:tcPr>
          <w:p w14:paraId="6190FBB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1.50</w:t>
            </w:r>
          </w:p>
        </w:tc>
      </w:tr>
      <w:tr w14:paraId="59A84082">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13088CBB">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6B868DD2">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南昌县高标准农田建设项目</w:t>
            </w:r>
          </w:p>
        </w:tc>
        <w:tc>
          <w:tcPr>
            <w:tcW w:w="942" w:type="dxa"/>
            <w:tcBorders>
              <w:top w:val="nil"/>
              <w:left w:val="nil"/>
              <w:bottom w:val="single" w:color="auto" w:sz="4" w:space="0"/>
              <w:right w:val="single" w:color="auto" w:sz="4" w:space="0"/>
            </w:tcBorders>
            <w:shd w:val="clear" w:color="auto" w:fill="auto"/>
            <w:vAlign w:val="center"/>
          </w:tcPr>
          <w:p w14:paraId="38A1853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540</w:t>
            </w:r>
          </w:p>
        </w:tc>
        <w:tc>
          <w:tcPr>
            <w:tcW w:w="942" w:type="dxa"/>
            <w:tcBorders>
              <w:top w:val="nil"/>
              <w:left w:val="nil"/>
              <w:bottom w:val="single" w:color="auto" w:sz="4" w:space="0"/>
              <w:right w:val="single" w:color="auto" w:sz="4" w:space="0"/>
            </w:tcBorders>
            <w:shd w:val="clear" w:color="auto" w:fill="auto"/>
            <w:vAlign w:val="center"/>
          </w:tcPr>
          <w:p w14:paraId="50C8DE0A">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4DBF113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540</w:t>
            </w:r>
          </w:p>
        </w:tc>
        <w:tc>
          <w:tcPr>
            <w:tcW w:w="1071" w:type="dxa"/>
            <w:tcBorders>
              <w:top w:val="nil"/>
              <w:left w:val="nil"/>
              <w:bottom w:val="single" w:color="auto" w:sz="4" w:space="0"/>
              <w:right w:val="single" w:color="auto" w:sz="4" w:space="0"/>
            </w:tcBorders>
            <w:shd w:val="clear" w:color="auto" w:fill="auto"/>
            <w:vAlign w:val="center"/>
          </w:tcPr>
          <w:p w14:paraId="155122DD">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0.08</w:t>
            </w:r>
          </w:p>
        </w:tc>
      </w:tr>
      <w:tr w14:paraId="2F893918">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6CEBFDBE">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76BA7E80">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南昌县高标准农田改造提升项目</w:t>
            </w:r>
          </w:p>
        </w:tc>
        <w:tc>
          <w:tcPr>
            <w:tcW w:w="942" w:type="dxa"/>
            <w:tcBorders>
              <w:top w:val="nil"/>
              <w:left w:val="nil"/>
              <w:bottom w:val="single" w:color="auto" w:sz="4" w:space="0"/>
              <w:right w:val="single" w:color="auto" w:sz="4" w:space="0"/>
            </w:tcBorders>
            <w:shd w:val="clear" w:color="auto" w:fill="auto"/>
            <w:vAlign w:val="center"/>
          </w:tcPr>
          <w:p w14:paraId="0D96A02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64AFD2E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31305</w:t>
            </w:r>
          </w:p>
        </w:tc>
        <w:tc>
          <w:tcPr>
            <w:tcW w:w="942" w:type="dxa"/>
            <w:tcBorders>
              <w:top w:val="nil"/>
              <w:left w:val="nil"/>
              <w:bottom w:val="single" w:color="auto" w:sz="4" w:space="0"/>
              <w:right w:val="single" w:color="auto" w:sz="4" w:space="0"/>
            </w:tcBorders>
            <w:shd w:val="clear" w:color="auto" w:fill="auto"/>
            <w:vAlign w:val="center"/>
          </w:tcPr>
          <w:p w14:paraId="2C89557B">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31305</w:t>
            </w:r>
          </w:p>
        </w:tc>
        <w:tc>
          <w:tcPr>
            <w:tcW w:w="1071" w:type="dxa"/>
            <w:tcBorders>
              <w:top w:val="nil"/>
              <w:left w:val="nil"/>
              <w:bottom w:val="single" w:color="auto" w:sz="4" w:space="0"/>
              <w:right w:val="single" w:color="auto" w:sz="4" w:space="0"/>
            </w:tcBorders>
            <w:shd w:val="clear" w:color="auto" w:fill="auto"/>
            <w:vAlign w:val="center"/>
          </w:tcPr>
          <w:p w14:paraId="768B0FD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4.70</w:t>
            </w:r>
          </w:p>
        </w:tc>
      </w:tr>
      <w:tr w14:paraId="3FEE9B98">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6EBECD46">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7E6ACBF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抚河下游流域农用地生态功能提升项目</w:t>
            </w:r>
          </w:p>
        </w:tc>
        <w:tc>
          <w:tcPr>
            <w:tcW w:w="942" w:type="dxa"/>
            <w:tcBorders>
              <w:top w:val="nil"/>
              <w:left w:val="nil"/>
              <w:bottom w:val="single" w:color="auto" w:sz="4" w:space="0"/>
              <w:right w:val="single" w:color="auto" w:sz="4" w:space="0"/>
            </w:tcBorders>
            <w:shd w:val="clear" w:color="auto" w:fill="auto"/>
            <w:vAlign w:val="center"/>
          </w:tcPr>
          <w:p w14:paraId="5F6B0A7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1DC290E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9960</w:t>
            </w:r>
          </w:p>
        </w:tc>
        <w:tc>
          <w:tcPr>
            <w:tcW w:w="942" w:type="dxa"/>
            <w:tcBorders>
              <w:top w:val="nil"/>
              <w:left w:val="nil"/>
              <w:bottom w:val="single" w:color="auto" w:sz="4" w:space="0"/>
              <w:right w:val="single" w:color="auto" w:sz="4" w:space="0"/>
            </w:tcBorders>
            <w:shd w:val="clear" w:color="auto" w:fill="auto"/>
            <w:vAlign w:val="center"/>
          </w:tcPr>
          <w:p w14:paraId="3EBC27EA">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9960</w:t>
            </w:r>
          </w:p>
        </w:tc>
        <w:tc>
          <w:tcPr>
            <w:tcW w:w="1071" w:type="dxa"/>
            <w:tcBorders>
              <w:top w:val="nil"/>
              <w:left w:val="nil"/>
              <w:bottom w:val="single" w:color="auto" w:sz="4" w:space="0"/>
              <w:right w:val="single" w:color="auto" w:sz="4" w:space="0"/>
            </w:tcBorders>
            <w:shd w:val="clear" w:color="auto" w:fill="auto"/>
            <w:vAlign w:val="center"/>
          </w:tcPr>
          <w:p w14:paraId="618FA04B">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1.50</w:t>
            </w:r>
          </w:p>
        </w:tc>
      </w:tr>
      <w:tr w14:paraId="2C872F59">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7E708DDF">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31099FBC">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小计</w:t>
            </w:r>
          </w:p>
        </w:tc>
        <w:tc>
          <w:tcPr>
            <w:tcW w:w="942" w:type="dxa"/>
            <w:tcBorders>
              <w:top w:val="nil"/>
              <w:left w:val="nil"/>
              <w:bottom w:val="single" w:color="auto" w:sz="4" w:space="0"/>
              <w:right w:val="single" w:color="auto" w:sz="4" w:space="0"/>
            </w:tcBorders>
            <w:shd w:val="clear" w:color="auto" w:fill="auto"/>
            <w:vAlign w:val="center"/>
          </w:tcPr>
          <w:p w14:paraId="36C0465B">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9040</w:t>
            </w:r>
          </w:p>
        </w:tc>
        <w:tc>
          <w:tcPr>
            <w:tcW w:w="942" w:type="dxa"/>
            <w:tcBorders>
              <w:top w:val="nil"/>
              <w:left w:val="nil"/>
              <w:bottom w:val="single" w:color="auto" w:sz="4" w:space="0"/>
              <w:right w:val="single" w:color="auto" w:sz="4" w:space="0"/>
            </w:tcBorders>
            <w:shd w:val="clear" w:color="auto" w:fill="auto"/>
            <w:vAlign w:val="center"/>
          </w:tcPr>
          <w:p w14:paraId="6F516D98">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46265</w:t>
            </w:r>
          </w:p>
        </w:tc>
        <w:tc>
          <w:tcPr>
            <w:tcW w:w="942" w:type="dxa"/>
            <w:tcBorders>
              <w:top w:val="nil"/>
              <w:left w:val="nil"/>
              <w:bottom w:val="single" w:color="auto" w:sz="4" w:space="0"/>
              <w:right w:val="single" w:color="auto" w:sz="4" w:space="0"/>
            </w:tcBorders>
            <w:shd w:val="clear" w:color="auto" w:fill="auto"/>
            <w:vAlign w:val="center"/>
          </w:tcPr>
          <w:p w14:paraId="2C98AF1D">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55305</w:t>
            </w:r>
          </w:p>
        </w:tc>
        <w:tc>
          <w:tcPr>
            <w:tcW w:w="1071" w:type="dxa"/>
            <w:tcBorders>
              <w:top w:val="nil"/>
              <w:left w:val="nil"/>
              <w:bottom w:val="single" w:color="auto" w:sz="4" w:space="0"/>
              <w:right w:val="single" w:color="auto" w:sz="4" w:space="0"/>
            </w:tcBorders>
            <w:shd w:val="clear" w:color="auto" w:fill="auto"/>
            <w:vAlign w:val="center"/>
          </w:tcPr>
          <w:p w14:paraId="247CCA79">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8.31</w:t>
            </w:r>
          </w:p>
        </w:tc>
      </w:tr>
      <w:tr w14:paraId="669D01F3">
        <w:tblPrEx>
          <w:tblCellMar>
            <w:top w:w="0" w:type="dxa"/>
            <w:left w:w="108" w:type="dxa"/>
            <w:bottom w:w="0" w:type="dxa"/>
            <w:right w:w="108" w:type="dxa"/>
          </w:tblCellMar>
        </w:tblPrEx>
        <w:trPr>
          <w:trHeight w:val="285" w:hRule="atLeast"/>
        </w:trPr>
        <w:tc>
          <w:tcPr>
            <w:tcW w:w="988" w:type="dxa"/>
            <w:vMerge w:val="restart"/>
            <w:tcBorders>
              <w:top w:val="nil"/>
              <w:left w:val="single" w:color="auto" w:sz="4" w:space="0"/>
              <w:bottom w:val="single" w:color="auto" w:sz="4" w:space="0"/>
              <w:right w:val="single" w:color="auto" w:sz="4" w:space="0"/>
            </w:tcBorders>
            <w:shd w:val="clear" w:color="auto" w:fill="auto"/>
            <w:vAlign w:val="center"/>
          </w:tcPr>
          <w:p w14:paraId="4AF2EE3A">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城乡生态网络连通与人居环境改善工程</w:t>
            </w:r>
          </w:p>
        </w:tc>
        <w:tc>
          <w:tcPr>
            <w:tcW w:w="3411" w:type="dxa"/>
            <w:tcBorders>
              <w:top w:val="nil"/>
              <w:left w:val="nil"/>
              <w:bottom w:val="single" w:color="auto" w:sz="4" w:space="0"/>
              <w:right w:val="single" w:color="auto" w:sz="4" w:space="0"/>
            </w:tcBorders>
            <w:shd w:val="clear" w:color="auto" w:fill="auto"/>
            <w:vAlign w:val="center"/>
          </w:tcPr>
          <w:p w14:paraId="6AC0C92C">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雁沙湖公园生态修复项目</w:t>
            </w:r>
          </w:p>
        </w:tc>
        <w:tc>
          <w:tcPr>
            <w:tcW w:w="942" w:type="dxa"/>
            <w:tcBorders>
              <w:top w:val="nil"/>
              <w:left w:val="nil"/>
              <w:bottom w:val="single" w:color="auto" w:sz="4" w:space="0"/>
              <w:right w:val="single" w:color="auto" w:sz="4" w:space="0"/>
            </w:tcBorders>
            <w:shd w:val="clear" w:color="auto" w:fill="auto"/>
            <w:vAlign w:val="center"/>
          </w:tcPr>
          <w:p w14:paraId="250F4E24">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2F460118">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15000</w:t>
            </w:r>
          </w:p>
        </w:tc>
        <w:tc>
          <w:tcPr>
            <w:tcW w:w="942" w:type="dxa"/>
            <w:tcBorders>
              <w:top w:val="nil"/>
              <w:left w:val="nil"/>
              <w:bottom w:val="single" w:color="auto" w:sz="4" w:space="0"/>
              <w:right w:val="single" w:color="auto" w:sz="4" w:space="0"/>
            </w:tcBorders>
            <w:shd w:val="clear" w:color="auto" w:fill="auto"/>
            <w:vAlign w:val="center"/>
          </w:tcPr>
          <w:p w14:paraId="423A05F1">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15000</w:t>
            </w:r>
          </w:p>
        </w:tc>
        <w:tc>
          <w:tcPr>
            <w:tcW w:w="1071" w:type="dxa"/>
            <w:tcBorders>
              <w:top w:val="nil"/>
              <w:left w:val="nil"/>
              <w:bottom w:val="single" w:color="auto" w:sz="4" w:space="0"/>
              <w:right w:val="single" w:color="auto" w:sz="4" w:space="0"/>
            </w:tcBorders>
            <w:shd w:val="clear" w:color="auto" w:fill="auto"/>
            <w:vAlign w:val="center"/>
          </w:tcPr>
          <w:p w14:paraId="7B31CD45">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2.25</w:t>
            </w:r>
          </w:p>
        </w:tc>
      </w:tr>
      <w:tr w14:paraId="72C0D667">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182DFBCC">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0E34262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抚河故道湿地郊野公园建设项目</w:t>
            </w:r>
          </w:p>
        </w:tc>
        <w:tc>
          <w:tcPr>
            <w:tcW w:w="942" w:type="dxa"/>
            <w:tcBorders>
              <w:top w:val="nil"/>
              <w:left w:val="nil"/>
              <w:bottom w:val="single" w:color="auto" w:sz="4" w:space="0"/>
              <w:right w:val="single" w:color="auto" w:sz="4" w:space="0"/>
            </w:tcBorders>
            <w:shd w:val="clear" w:color="auto" w:fill="auto"/>
            <w:vAlign w:val="center"/>
          </w:tcPr>
          <w:p w14:paraId="6F521AF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4C118E50">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57000</w:t>
            </w:r>
          </w:p>
        </w:tc>
        <w:tc>
          <w:tcPr>
            <w:tcW w:w="942" w:type="dxa"/>
            <w:tcBorders>
              <w:top w:val="nil"/>
              <w:left w:val="nil"/>
              <w:bottom w:val="single" w:color="auto" w:sz="4" w:space="0"/>
              <w:right w:val="single" w:color="auto" w:sz="4" w:space="0"/>
            </w:tcBorders>
            <w:shd w:val="clear" w:color="auto" w:fill="auto"/>
            <w:vAlign w:val="center"/>
          </w:tcPr>
          <w:p w14:paraId="52B134C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57000</w:t>
            </w:r>
          </w:p>
        </w:tc>
        <w:tc>
          <w:tcPr>
            <w:tcW w:w="1071" w:type="dxa"/>
            <w:tcBorders>
              <w:top w:val="nil"/>
              <w:left w:val="nil"/>
              <w:bottom w:val="single" w:color="auto" w:sz="4" w:space="0"/>
              <w:right w:val="single" w:color="auto" w:sz="4" w:space="0"/>
            </w:tcBorders>
            <w:shd w:val="clear" w:color="auto" w:fill="auto"/>
            <w:vAlign w:val="center"/>
          </w:tcPr>
          <w:p w14:paraId="7142638E">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8.57</w:t>
            </w:r>
          </w:p>
        </w:tc>
      </w:tr>
      <w:tr w14:paraId="7194B90A">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539B23C1">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6A6978BB">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城市公园改造提升项目</w:t>
            </w:r>
          </w:p>
        </w:tc>
        <w:tc>
          <w:tcPr>
            <w:tcW w:w="942" w:type="dxa"/>
            <w:tcBorders>
              <w:top w:val="nil"/>
              <w:left w:val="nil"/>
              <w:bottom w:val="single" w:color="auto" w:sz="4" w:space="0"/>
              <w:right w:val="single" w:color="auto" w:sz="4" w:space="0"/>
            </w:tcBorders>
            <w:shd w:val="clear" w:color="auto" w:fill="auto"/>
            <w:vAlign w:val="center"/>
          </w:tcPr>
          <w:p w14:paraId="65C371B7">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10000</w:t>
            </w:r>
          </w:p>
        </w:tc>
        <w:tc>
          <w:tcPr>
            <w:tcW w:w="942" w:type="dxa"/>
            <w:tcBorders>
              <w:top w:val="nil"/>
              <w:left w:val="nil"/>
              <w:bottom w:val="single" w:color="auto" w:sz="4" w:space="0"/>
              <w:right w:val="single" w:color="auto" w:sz="4" w:space="0"/>
            </w:tcBorders>
            <w:shd w:val="clear" w:color="auto" w:fill="auto"/>
            <w:vAlign w:val="center"/>
          </w:tcPr>
          <w:p w14:paraId="318204B7">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20000</w:t>
            </w:r>
          </w:p>
        </w:tc>
        <w:tc>
          <w:tcPr>
            <w:tcW w:w="942" w:type="dxa"/>
            <w:tcBorders>
              <w:top w:val="nil"/>
              <w:left w:val="nil"/>
              <w:bottom w:val="single" w:color="auto" w:sz="4" w:space="0"/>
              <w:right w:val="single" w:color="auto" w:sz="4" w:space="0"/>
            </w:tcBorders>
            <w:shd w:val="clear" w:color="auto" w:fill="auto"/>
            <w:vAlign w:val="center"/>
          </w:tcPr>
          <w:p w14:paraId="5EDE2F1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30000</w:t>
            </w:r>
          </w:p>
        </w:tc>
        <w:tc>
          <w:tcPr>
            <w:tcW w:w="1071" w:type="dxa"/>
            <w:tcBorders>
              <w:top w:val="nil"/>
              <w:left w:val="nil"/>
              <w:bottom w:val="single" w:color="auto" w:sz="4" w:space="0"/>
              <w:right w:val="single" w:color="auto" w:sz="4" w:space="0"/>
            </w:tcBorders>
            <w:shd w:val="clear" w:color="auto" w:fill="auto"/>
            <w:vAlign w:val="center"/>
          </w:tcPr>
          <w:p w14:paraId="5B569A7F">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4.51</w:t>
            </w:r>
          </w:p>
        </w:tc>
      </w:tr>
      <w:tr w14:paraId="0CA45535">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7203845E">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7BB70CEB">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南昌县赣江岸线生态综合治理项目</w:t>
            </w:r>
          </w:p>
        </w:tc>
        <w:tc>
          <w:tcPr>
            <w:tcW w:w="942" w:type="dxa"/>
            <w:tcBorders>
              <w:top w:val="nil"/>
              <w:left w:val="nil"/>
              <w:bottom w:val="single" w:color="auto" w:sz="4" w:space="0"/>
              <w:right w:val="single" w:color="auto" w:sz="4" w:space="0"/>
            </w:tcBorders>
            <w:shd w:val="clear" w:color="auto" w:fill="auto"/>
            <w:vAlign w:val="center"/>
          </w:tcPr>
          <w:p w14:paraId="05BF2D8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29000</w:t>
            </w:r>
          </w:p>
        </w:tc>
        <w:tc>
          <w:tcPr>
            <w:tcW w:w="942" w:type="dxa"/>
            <w:tcBorders>
              <w:top w:val="nil"/>
              <w:left w:val="nil"/>
              <w:bottom w:val="single" w:color="auto" w:sz="4" w:space="0"/>
              <w:right w:val="single" w:color="auto" w:sz="4" w:space="0"/>
            </w:tcBorders>
            <w:shd w:val="clear" w:color="auto" w:fill="auto"/>
            <w:vAlign w:val="center"/>
          </w:tcPr>
          <w:p w14:paraId="1BB65092">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　</w:t>
            </w:r>
          </w:p>
        </w:tc>
        <w:tc>
          <w:tcPr>
            <w:tcW w:w="942" w:type="dxa"/>
            <w:tcBorders>
              <w:top w:val="nil"/>
              <w:left w:val="nil"/>
              <w:bottom w:val="single" w:color="auto" w:sz="4" w:space="0"/>
              <w:right w:val="single" w:color="auto" w:sz="4" w:space="0"/>
            </w:tcBorders>
            <w:shd w:val="clear" w:color="auto" w:fill="auto"/>
            <w:vAlign w:val="center"/>
          </w:tcPr>
          <w:p w14:paraId="4BF035A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29000</w:t>
            </w:r>
          </w:p>
        </w:tc>
        <w:tc>
          <w:tcPr>
            <w:tcW w:w="1071" w:type="dxa"/>
            <w:tcBorders>
              <w:top w:val="nil"/>
              <w:left w:val="nil"/>
              <w:bottom w:val="single" w:color="auto" w:sz="4" w:space="0"/>
              <w:right w:val="single" w:color="auto" w:sz="4" w:space="0"/>
            </w:tcBorders>
            <w:shd w:val="clear" w:color="auto" w:fill="auto"/>
            <w:vAlign w:val="center"/>
          </w:tcPr>
          <w:p w14:paraId="07B2E9EB">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4.36</w:t>
            </w:r>
          </w:p>
        </w:tc>
      </w:tr>
      <w:tr w14:paraId="0CDB977D">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6285C051">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1DD85B97">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农村人居环境整治提升项目</w:t>
            </w:r>
          </w:p>
        </w:tc>
        <w:tc>
          <w:tcPr>
            <w:tcW w:w="942" w:type="dxa"/>
            <w:tcBorders>
              <w:top w:val="nil"/>
              <w:left w:val="nil"/>
              <w:bottom w:val="single" w:color="auto" w:sz="4" w:space="0"/>
              <w:right w:val="single" w:color="auto" w:sz="4" w:space="0"/>
            </w:tcBorders>
            <w:shd w:val="clear" w:color="auto" w:fill="auto"/>
            <w:vAlign w:val="center"/>
          </w:tcPr>
          <w:p w14:paraId="6DE3E7B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5000</w:t>
            </w:r>
          </w:p>
        </w:tc>
        <w:tc>
          <w:tcPr>
            <w:tcW w:w="942" w:type="dxa"/>
            <w:tcBorders>
              <w:top w:val="nil"/>
              <w:left w:val="nil"/>
              <w:bottom w:val="single" w:color="auto" w:sz="4" w:space="0"/>
              <w:right w:val="single" w:color="auto" w:sz="4" w:space="0"/>
            </w:tcBorders>
            <w:shd w:val="clear" w:color="auto" w:fill="auto"/>
            <w:vAlign w:val="center"/>
          </w:tcPr>
          <w:p w14:paraId="3CDE9C67">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15000</w:t>
            </w:r>
          </w:p>
        </w:tc>
        <w:tc>
          <w:tcPr>
            <w:tcW w:w="942" w:type="dxa"/>
            <w:tcBorders>
              <w:top w:val="nil"/>
              <w:left w:val="nil"/>
              <w:bottom w:val="single" w:color="auto" w:sz="4" w:space="0"/>
              <w:right w:val="single" w:color="auto" w:sz="4" w:space="0"/>
            </w:tcBorders>
            <w:shd w:val="clear" w:color="auto" w:fill="auto"/>
            <w:vAlign w:val="center"/>
          </w:tcPr>
          <w:p w14:paraId="5C4401FD">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20000</w:t>
            </w:r>
          </w:p>
        </w:tc>
        <w:tc>
          <w:tcPr>
            <w:tcW w:w="1071" w:type="dxa"/>
            <w:tcBorders>
              <w:top w:val="nil"/>
              <w:left w:val="nil"/>
              <w:bottom w:val="single" w:color="auto" w:sz="4" w:space="0"/>
              <w:right w:val="single" w:color="auto" w:sz="4" w:space="0"/>
            </w:tcBorders>
            <w:shd w:val="clear" w:color="auto" w:fill="auto"/>
            <w:vAlign w:val="center"/>
          </w:tcPr>
          <w:p w14:paraId="76FCEE81">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3.01</w:t>
            </w:r>
          </w:p>
        </w:tc>
      </w:tr>
      <w:tr w14:paraId="69D54532">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27FD0D70">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0DE1BBC3">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南昌县农业面源污染防治项目</w:t>
            </w:r>
          </w:p>
        </w:tc>
        <w:tc>
          <w:tcPr>
            <w:tcW w:w="942" w:type="dxa"/>
            <w:tcBorders>
              <w:top w:val="nil"/>
              <w:left w:val="nil"/>
              <w:bottom w:val="single" w:color="auto" w:sz="4" w:space="0"/>
              <w:right w:val="single" w:color="auto" w:sz="4" w:space="0"/>
            </w:tcBorders>
            <w:shd w:val="clear" w:color="auto" w:fill="auto"/>
            <w:vAlign w:val="center"/>
          </w:tcPr>
          <w:p w14:paraId="513C2CEC">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2000</w:t>
            </w:r>
          </w:p>
        </w:tc>
        <w:tc>
          <w:tcPr>
            <w:tcW w:w="942" w:type="dxa"/>
            <w:tcBorders>
              <w:top w:val="nil"/>
              <w:left w:val="nil"/>
              <w:bottom w:val="single" w:color="auto" w:sz="4" w:space="0"/>
              <w:right w:val="single" w:color="auto" w:sz="4" w:space="0"/>
            </w:tcBorders>
            <w:shd w:val="clear" w:color="auto" w:fill="auto"/>
            <w:vAlign w:val="center"/>
          </w:tcPr>
          <w:p w14:paraId="7145D895">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3000</w:t>
            </w:r>
          </w:p>
        </w:tc>
        <w:tc>
          <w:tcPr>
            <w:tcW w:w="942" w:type="dxa"/>
            <w:tcBorders>
              <w:top w:val="nil"/>
              <w:left w:val="nil"/>
              <w:bottom w:val="single" w:color="auto" w:sz="4" w:space="0"/>
              <w:right w:val="single" w:color="auto" w:sz="4" w:space="0"/>
            </w:tcBorders>
            <w:shd w:val="clear" w:color="auto" w:fill="auto"/>
            <w:vAlign w:val="center"/>
          </w:tcPr>
          <w:p w14:paraId="60B43046">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5000</w:t>
            </w:r>
          </w:p>
        </w:tc>
        <w:tc>
          <w:tcPr>
            <w:tcW w:w="1071" w:type="dxa"/>
            <w:tcBorders>
              <w:top w:val="nil"/>
              <w:left w:val="nil"/>
              <w:bottom w:val="single" w:color="auto" w:sz="4" w:space="0"/>
              <w:right w:val="single" w:color="auto" w:sz="4" w:space="0"/>
            </w:tcBorders>
            <w:shd w:val="clear" w:color="auto" w:fill="auto"/>
            <w:vAlign w:val="center"/>
          </w:tcPr>
          <w:p w14:paraId="5AE1A59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0.75</w:t>
            </w:r>
          </w:p>
        </w:tc>
      </w:tr>
      <w:tr w14:paraId="521B4B19">
        <w:tblPrEx>
          <w:tblCellMar>
            <w:top w:w="0" w:type="dxa"/>
            <w:left w:w="108" w:type="dxa"/>
            <w:bottom w:w="0" w:type="dxa"/>
            <w:right w:w="108" w:type="dxa"/>
          </w:tblCellMar>
        </w:tblPrEx>
        <w:trPr>
          <w:trHeight w:val="285" w:hRule="atLeast"/>
        </w:trPr>
        <w:tc>
          <w:tcPr>
            <w:tcW w:w="988" w:type="dxa"/>
            <w:vMerge w:val="continue"/>
            <w:tcBorders>
              <w:top w:val="nil"/>
              <w:left w:val="single" w:color="auto" w:sz="4" w:space="0"/>
              <w:bottom w:val="single" w:color="auto" w:sz="4" w:space="0"/>
              <w:right w:val="single" w:color="auto" w:sz="4" w:space="0"/>
            </w:tcBorders>
            <w:vAlign w:val="center"/>
          </w:tcPr>
          <w:p w14:paraId="6C4B4EB0">
            <w:pPr>
              <w:widowControl/>
              <w:spacing w:before="0" w:after="0" w:line="240" w:lineRule="auto"/>
              <w:ind w:firstLine="0" w:firstLineChars="0"/>
              <w:jc w:val="left"/>
              <w:rPr>
                <w:rFonts w:hAnsi="等线" w:cs="宋体"/>
                <w:color w:val="000000"/>
                <w:kern w:val="0"/>
                <w:sz w:val="24"/>
                <w:szCs w:val="24"/>
              </w:rPr>
            </w:pPr>
          </w:p>
        </w:tc>
        <w:tc>
          <w:tcPr>
            <w:tcW w:w="3411" w:type="dxa"/>
            <w:tcBorders>
              <w:top w:val="nil"/>
              <w:left w:val="nil"/>
              <w:bottom w:val="single" w:color="auto" w:sz="4" w:space="0"/>
              <w:right w:val="single" w:color="auto" w:sz="4" w:space="0"/>
            </w:tcBorders>
            <w:shd w:val="clear" w:color="auto" w:fill="auto"/>
            <w:vAlign w:val="center"/>
          </w:tcPr>
          <w:p w14:paraId="2CC48379">
            <w:pPr>
              <w:widowControl/>
              <w:spacing w:before="0" w:after="0" w:line="240" w:lineRule="auto"/>
              <w:ind w:firstLine="0" w:firstLineChars="0"/>
              <w:jc w:val="center"/>
              <w:rPr>
                <w:rFonts w:hAnsi="等线" w:cs="宋体"/>
                <w:color w:val="000000"/>
                <w:kern w:val="0"/>
                <w:sz w:val="24"/>
                <w:szCs w:val="24"/>
              </w:rPr>
            </w:pPr>
            <w:r>
              <w:rPr>
                <w:rFonts w:hint="eastAsia" w:hAnsi="等线" w:cs="宋体"/>
                <w:color w:val="000000"/>
                <w:kern w:val="0"/>
                <w:sz w:val="24"/>
                <w:szCs w:val="24"/>
              </w:rPr>
              <w:t>小计</w:t>
            </w:r>
          </w:p>
        </w:tc>
        <w:tc>
          <w:tcPr>
            <w:tcW w:w="942" w:type="dxa"/>
            <w:tcBorders>
              <w:top w:val="nil"/>
              <w:left w:val="nil"/>
              <w:bottom w:val="single" w:color="auto" w:sz="4" w:space="0"/>
              <w:right w:val="single" w:color="auto" w:sz="4" w:space="0"/>
            </w:tcBorders>
            <w:shd w:val="clear" w:color="auto" w:fill="auto"/>
            <w:vAlign w:val="center"/>
          </w:tcPr>
          <w:p w14:paraId="1610D754">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46000</w:t>
            </w:r>
          </w:p>
        </w:tc>
        <w:tc>
          <w:tcPr>
            <w:tcW w:w="942" w:type="dxa"/>
            <w:tcBorders>
              <w:top w:val="nil"/>
              <w:left w:val="nil"/>
              <w:bottom w:val="single" w:color="auto" w:sz="4" w:space="0"/>
              <w:right w:val="single" w:color="auto" w:sz="4" w:space="0"/>
            </w:tcBorders>
            <w:shd w:val="clear" w:color="auto" w:fill="auto"/>
            <w:vAlign w:val="center"/>
          </w:tcPr>
          <w:p w14:paraId="4E66F88F">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110000</w:t>
            </w:r>
          </w:p>
        </w:tc>
        <w:tc>
          <w:tcPr>
            <w:tcW w:w="942" w:type="dxa"/>
            <w:tcBorders>
              <w:top w:val="nil"/>
              <w:left w:val="nil"/>
              <w:bottom w:val="single" w:color="auto" w:sz="4" w:space="0"/>
              <w:right w:val="single" w:color="auto" w:sz="4" w:space="0"/>
            </w:tcBorders>
            <w:shd w:val="clear" w:color="auto" w:fill="auto"/>
            <w:vAlign w:val="center"/>
          </w:tcPr>
          <w:p w14:paraId="23BAD3FF">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156000</w:t>
            </w:r>
          </w:p>
        </w:tc>
        <w:tc>
          <w:tcPr>
            <w:tcW w:w="1071" w:type="dxa"/>
            <w:tcBorders>
              <w:top w:val="nil"/>
              <w:left w:val="nil"/>
              <w:bottom w:val="single" w:color="auto" w:sz="4" w:space="0"/>
              <w:right w:val="single" w:color="auto" w:sz="4" w:space="0"/>
            </w:tcBorders>
            <w:shd w:val="clear" w:color="auto" w:fill="auto"/>
            <w:vAlign w:val="center"/>
          </w:tcPr>
          <w:p w14:paraId="4DB11ED6">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23.44</w:t>
            </w:r>
          </w:p>
        </w:tc>
      </w:tr>
      <w:tr w14:paraId="6F1B5C74">
        <w:tblPrEx>
          <w:tblCellMar>
            <w:top w:w="0" w:type="dxa"/>
            <w:left w:w="108" w:type="dxa"/>
            <w:bottom w:w="0" w:type="dxa"/>
            <w:right w:w="108" w:type="dxa"/>
          </w:tblCellMar>
        </w:tblPrEx>
        <w:trPr>
          <w:trHeight w:val="285" w:hRule="atLeast"/>
        </w:trPr>
        <w:tc>
          <w:tcPr>
            <w:tcW w:w="4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55ACBE">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合计</w:t>
            </w:r>
          </w:p>
        </w:tc>
        <w:tc>
          <w:tcPr>
            <w:tcW w:w="942" w:type="dxa"/>
            <w:tcBorders>
              <w:top w:val="nil"/>
              <w:left w:val="nil"/>
              <w:bottom w:val="single" w:color="auto" w:sz="4" w:space="0"/>
              <w:right w:val="single" w:color="auto" w:sz="4" w:space="0"/>
            </w:tcBorders>
            <w:shd w:val="clear" w:color="auto" w:fill="auto"/>
            <w:vAlign w:val="center"/>
          </w:tcPr>
          <w:p w14:paraId="3C638533">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364503</w:t>
            </w:r>
          </w:p>
        </w:tc>
        <w:tc>
          <w:tcPr>
            <w:tcW w:w="942" w:type="dxa"/>
            <w:tcBorders>
              <w:top w:val="nil"/>
              <w:left w:val="nil"/>
              <w:bottom w:val="single" w:color="auto" w:sz="4" w:space="0"/>
              <w:right w:val="single" w:color="auto" w:sz="4" w:space="0"/>
            </w:tcBorders>
            <w:shd w:val="clear" w:color="auto" w:fill="auto"/>
            <w:vAlign w:val="center"/>
          </w:tcPr>
          <w:p w14:paraId="68E6F58F">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300965</w:t>
            </w:r>
          </w:p>
        </w:tc>
        <w:tc>
          <w:tcPr>
            <w:tcW w:w="942" w:type="dxa"/>
            <w:tcBorders>
              <w:top w:val="nil"/>
              <w:left w:val="nil"/>
              <w:bottom w:val="single" w:color="auto" w:sz="4" w:space="0"/>
              <w:right w:val="single" w:color="auto" w:sz="4" w:space="0"/>
            </w:tcBorders>
            <w:shd w:val="clear" w:color="auto" w:fill="auto"/>
            <w:vAlign w:val="center"/>
          </w:tcPr>
          <w:p w14:paraId="6AF18524">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665468</w:t>
            </w:r>
          </w:p>
        </w:tc>
        <w:tc>
          <w:tcPr>
            <w:tcW w:w="1071" w:type="dxa"/>
            <w:tcBorders>
              <w:top w:val="nil"/>
              <w:left w:val="nil"/>
              <w:bottom w:val="single" w:color="auto" w:sz="4" w:space="0"/>
              <w:right w:val="single" w:color="auto" w:sz="4" w:space="0"/>
            </w:tcBorders>
            <w:shd w:val="clear" w:color="auto" w:fill="auto"/>
            <w:vAlign w:val="center"/>
          </w:tcPr>
          <w:p w14:paraId="5929CB44">
            <w:pPr>
              <w:widowControl/>
              <w:spacing w:before="0" w:after="0" w:line="240" w:lineRule="auto"/>
              <w:ind w:firstLine="0" w:firstLineChars="0"/>
              <w:jc w:val="center"/>
              <w:rPr>
                <w:rFonts w:hAnsi="等线" w:cs="宋体"/>
                <w:b/>
                <w:bCs/>
                <w:color w:val="000000"/>
                <w:kern w:val="0"/>
                <w:sz w:val="24"/>
                <w:szCs w:val="24"/>
              </w:rPr>
            </w:pPr>
            <w:r>
              <w:rPr>
                <w:rFonts w:hint="eastAsia" w:hAnsi="等线" w:cs="宋体"/>
                <w:b/>
                <w:bCs/>
                <w:color w:val="000000"/>
                <w:kern w:val="0"/>
                <w:sz w:val="24"/>
                <w:szCs w:val="24"/>
              </w:rPr>
              <w:t>100.00</w:t>
            </w:r>
          </w:p>
        </w:tc>
      </w:tr>
    </w:tbl>
    <w:p w14:paraId="553415ED">
      <w:pPr>
        <w:spacing w:before="260" w:after="260" w:line="560" w:lineRule="exact"/>
        <w:ind w:firstLine="0" w:firstLineChars="0"/>
        <w:jc w:val="center"/>
        <w:outlineLvl w:val="1"/>
        <w:rPr>
          <w:rFonts w:ascii="黑体" w:hAnsi="黑体" w:eastAsia="黑体" w:cs="仿宋"/>
          <w:b/>
          <w:bCs/>
          <w:sz w:val="32"/>
          <w:szCs w:val="32"/>
        </w:rPr>
      </w:pPr>
      <w:r>
        <w:rPr>
          <w:rFonts w:hint="eastAsia" w:ascii="黑体" w:hAnsi="黑体" w:eastAsia="黑体" w:cs="仿宋"/>
          <w:b/>
          <w:bCs/>
          <w:sz w:val="32"/>
          <w:szCs w:val="32"/>
        </w:rPr>
        <w:t>第二节</w:t>
      </w:r>
      <w:r>
        <w:rPr>
          <w:rFonts w:ascii="黑体" w:hAnsi="黑体" w:eastAsia="黑体" w:cs="仿宋"/>
          <w:b/>
          <w:bCs/>
          <w:sz w:val="32"/>
          <w:szCs w:val="32"/>
        </w:rPr>
        <w:t xml:space="preserve"> </w:t>
      </w:r>
      <w:r>
        <w:rPr>
          <w:rFonts w:hint="eastAsia" w:ascii="黑体" w:hAnsi="黑体" w:eastAsia="黑体" w:cs="仿宋"/>
          <w:b/>
          <w:bCs/>
          <w:sz w:val="32"/>
          <w:szCs w:val="32"/>
        </w:rPr>
        <w:t>资金筹措</w:t>
      </w:r>
      <w:bookmarkEnd w:id="213"/>
      <w:bookmarkEnd w:id="214"/>
      <w:bookmarkEnd w:id="215"/>
    </w:p>
    <w:p w14:paraId="0E0BBCE4">
      <w:pPr>
        <w:spacing w:before="0" w:after="0"/>
        <w:ind w:firstLine="560"/>
      </w:pPr>
      <w:r>
        <w:rPr>
          <w:rFonts w:hint="eastAsia"/>
        </w:rPr>
        <w:t>根据《自然资源领域中央与地方财政事权和支出责任划分改革方案》和《江西省省级自然资源保护与利用专项资金管理办法》等文件</w:t>
      </w:r>
      <w:r>
        <w:t>要求，</w:t>
      </w:r>
      <w:r>
        <w:rPr>
          <w:rFonts w:hint="eastAsia"/>
        </w:rPr>
        <w:t>可采取政府投入引导和市场投入相结合、中央和地方多层次多渠道筹措资金相结合、现有投资渠道与新开专项相结合的模式进行资金筹措，以合理划分支出责任，确保重点任务落地实施，具体包括以下三种方式：</w:t>
      </w:r>
    </w:p>
    <w:p w14:paraId="1801F05F">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216" w:name="_Toc86257466"/>
      <w:bookmarkStart w:id="217" w:name="_Toc121081798"/>
      <w:bookmarkStart w:id="218" w:name="_Toc98173002"/>
      <w:bookmarkStart w:id="219" w:name="_Toc127908982"/>
      <w:bookmarkStart w:id="220" w:name="_Toc88162830"/>
      <w:r>
        <w:rPr>
          <w:rFonts w:hint="eastAsia" w:ascii="黑体" w:hAnsi="黑体" w:eastAsia="黑体" w:cs="黑体"/>
          <w:b w:val="0"/>
          <w:sz w:val="30"/>
          <w:szCs w:val="30"/>
        </w:rPr>
        <w:t>一、积极争取</w:t>
      </w:r>
      <w:bookmarkEnd w:id="216"/>
      <w:r>
        <w:rPr>
          <w:rFonts w:hint="eastAsia" w:ascii="黑体" w:hAnsi="黑体" w:eastAsia="黑体" w:cs="黑体"/>
          <w:b w:val="0"/>
          <w:sz w:val="30"/>
          <w:szCs w:val="30"/>
        </w:rPr>
        <w:t>上级奖补资金</w:t>
      </w:r>
      <w:bookmarkEnd w:id="217"/>
      <w:bookmarkEnd w:id="218"/>
      <w:bookmarkEnd w:id="219"/>
      <w:bookmarkEnd w:id="220"/>
    </w:p>
    <w:p w14:paraId="1CF29D7F">
      <w:pPr>
        <w:spacing w:before="0" w:after="0"/>
        <w:ind w:firstLine="560"/>
      </w:pPr>
      <w:r>
        <w:rPr>
          <w:rFonts w:hint="eastAsia"/>
        </w:rPr>
        <w:t>积极争取中央、省级生态修复专项资金以及南昌市《鄱阳湖山水林田湖草沙一体化保护和修复工程》财政奖补资金，在安排鄱阳湖湿地保护、生物多样性保护、赣抚流域水生态修复、水土流失治理、森林保护修复等跨省域、跨市域的山水林田湖草沙系统治理工程补助资金时</w:t>
      </w:r>
      <w:r>
        <w:t>,给予</w:t>
      </w:r>
      <w:r>
        <w:rPr>
          <w:rFonts w:hint="eastAsia"/>
        </w:rPr>
        <w:t>南昌县</w:t>
      </w:r>
      <w:r>
        <w:t>以适当倾斜。</w:t>
      </w:r>
    </w:p>
    <w:p w14:paraId="62144DD5">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221" w:name="_Toc121081799"/>
      <w:bookmarkStart w:id="222" w:name="_Toc88162831"/>
      <w:bookmarkStart w:id="223" w:name="_Toc98173003"/>
      <w:bookmarkStart w:id="224" w:name="_Toc86257467"/>
      <w:bookmarkStart w:id="225" w:name="_Toc127908983"/>
      <w:r>
        <w:rPr>
          <w:rFonts w:hint="eastAsia" w:ascii="黑体" w:hAnsi="黑体" w:eastAsia="黑体" w:cs="黑体"/>
          <w:b w:val="0"/>
          <w:sz w:val="30"/>
          <w:szCs w:val="30"/>
        </w:rPr>
        <w:t>二、</w:t>
      </w:r>
      <w:bookmarkEnd w:id="221"/>
      <w:bookmarkEnd w:id="222"/>
      <w:bookmarkEnd w:id="223"/>
      <w:bookmarkEnd w:id="224"/>
      <w:r>
        <w:rPr>
          <w:rFonts w:hint="eastAsia" w:ascii="黑体" w:hAnsi="黑体" w:eastAsia="黑体" w:cs="黑体"/>
          <w:b w:val="0"/>
          <w:sz w:val="30"/>
          <w:szCs w:val="30"/>
        </w:rPr>
        <w:t>充分整合地方财政预算</w:t>
      </w:r>
      <w:bookmarkEnd w:id="225"/>
    </w:p>
    <w:p w14:paraId="683F051C">
      <w:pPr>
        <w:spacing w:before="0" w:after="0"/>
        <w:ind w:firstLine="560"/>
      </w:pPr>
      <w:r>
        <w:rPr>
          <w:rFonts w:hint="eastAsia" w:ascii="Times New Roman" w:hAnsi="Times New Roman"/>
          <w:szCs w:val="28"/>
        </w:rPr>
        <w:t>将南昌县国土空间生态保护和修复重点工程项目纳入南昌县国民经济与社会发展规划，工程建设资金列入地方财政预算，充分落实配套资金。加强自然资源（林业）、水利、农业农村、生态环境等部门相关资金的整合，统筹土壤污染防治专项、中央水污染防治专项、中央生态公益林补偿专项、省级生态公益林补偿专项、中央财政林业生态保护恢复专项、中央水利发展专项、</w:t>
      </w:r>
      <w:r>
        <w:rPr>
          <w:rFonts w:hint="eastAsia"/>
          <w:shd w:val="clear" w:color="auto" w:fill="FFFFFF"/>
        </w:rPr>
        <w:t>省级水利专项、农业资源及生态保护补助专项、农田建设专项等各类财政专项</w:t>
      </w:r>
      <w:r>
        <w:rPr>
          <w:rFonts w:hint="eastAsia" w:ascii="Times New Roman" w:hAnsi="Times New Roman"/>
          <w:szCs w:val="28"/>
        </w:rPr>
        <w:t>，建立稳定的资金渠道，逐步建立生态修复基金，加大对生态保护和修复重点工程项目的资金支持力度。</w:t>
      </w:r>
    </w:p>
    <w:p w14:paraId="55DE2F78">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226" w:name="_Toc127908984"/>
      <w:bookmarkStart w:id="227" w:name="_Toc121081800"/>
      <w:r>
        <w:rPr>
          <w:rFonts w:hint="eastAsia" w:ascii="黑体" w:hAnsi="黑体" w:eastAsia="黑体" w:cs="黑体"/>
          <w:b w:val="0"/>
          <w:sz w:val="30"/>
          <w:szCs w:val="30"/>
        </w:rPr>
        <w:t>三、鼓励支持社会资金投入</w:t>
      </w:r>
      <w:bookmarkEnd w:id="226"/>
      <w:bookmarkEnd w:id="227"/>
    </w:p>
    <w:p w14:paraId="70C8D9C8">
      <w:pPr>
        <w:spacing w:before="0" w:after="0"/>
        <w:ind w:firstLine="560"/>
      </w:pPr>
      <w:r>
        <w:t>加强国土空间生态保护修复市场化机制建设，引导和支持社会资本参与生态修复工程实施，探索多元化投入机制、多主体参与治理模式。鼓励和支持社会资本通过自主投资、与政府合作、公益参与等模式参与生态保护修复项目全过程，</w:t>
      </w:r>
      <w:r>
        <w:rPr>
          <w:rFonts w:hint="eastAsia"/>
        </w:rPr>
        <w:t>拓展多元化资金筹措途径，</w:t>
      </w:r>
      <w:r>
        <w:t>围绕生态保护修复开展生态产品开发、产业发展、科技创新、技术服务等活动，对区域生态保护修复进行全生命周期运营管护。</w:t>
      </w:r>
    </w:p>
    <w:p w14:paraId="0DCCF2C0">
      <w:pPr>
        <w:spacing w:before="260" w:after="260" w:line="560" w:lineRule="exact"/>
        <w:ind w:firstLine="0" w:firstLineChars="0"/>
        <w:jc w:val="center"/>
        <w:outlineLvl w:val="1"/>
        <w:rPr>
          <w:rFonts w:ascii="黑体" w:hAnsi="黑体" w:eastAsia="黑体" w:cs="仿宋"/>
          <w:b/>
          <w:bCs/>
          <w:sz w:val="32"/>
          <w:szCs w:val="32"/>
        </w:rPr>
      </w:pPr>
      <w:bookmarkStart w:id="228" w:name="_Toc131005129"/>
      <w:bookmarkStart w:id="229" w:name="_Toc76497693"/>
      <w:bookmarkStart w:id="230" w:name="_Toc86257468"/>
      <w:bookmarkStart w:id="231" w:name="_Toc78481241"/>
      <w:r>
        <w:rPr>
          <w:rFonts w:hint="eastAsia" w:ascii="黑体" w:hAnsi="黑体" w:eastAsia="黑体" w:cs="仿宋"/>
          <w:b/>
          <w:bCs/>
          <w:sz w:val="32"/>
          <w:szCs w:val="32"/>
        </w:rPr>
        <w:t>第三节</w:t>
      </w:r>
      <w:r>
        <w:rPr>
          <w:rFonts w:ascii="黑体" w:hAnsi="黑体" w:eastAsia="黑体" w:cs="仿宋"/>
          <w:b/>
          <w:bCs/>
          <w:sz w:val="32"/>
          <w:szCs w:val="32"/>
        </w:rPr>
        <w:t xml:space="preserve"> </w:t>
      </w:r>
      <w:r>
        <w:rPr>
          <w:rFonts w:hint="eastAsia" w:ascii="黑体" w:hAnsi="黑体" w:eastAsia="黑体" w:cs="仿宋"/>
          <w:b/>
          <w:bCs/>
          <w:sz w:val="32"/>
          <w:szCs w:val="32"/>
        </w:rPr>
        <w:t>效益分析</w:t>
      </w:r>
      <w:bookmarkEnd w:id="228"/>
      <w:bookmarkEnd w:id="229"/>
      <w:bookmarkEnd w:id="230"/>
      <w:bookmarkEnd w:id="231"/>
    </w:p>
    <w:p w14:paraId="00504A95">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232" w:name="_Toc78481242"/>
      <w:bookmarkStart w:id="233" w:name="_Toc127908986"/>
      <w:bookmarkStart w:id="234" w:name="_Toc88162833"/>
      <w:bookmarkStart w:id="235" w:name="_Toc121081802"/>
      <w:bookmarkStart w:id="236" w:name="_Toc98173005"/>
      <w:bookmarkStart w:id="237" w:name="_Toc86257469"/>
      <w:r>
        <w:rPr>
          <w:rFonts w:hint="eastAsia" w:ascii="黑体" w:hAnsi="黑体" w:eastAsia="黑体" w:cs="黑体"/>
          <w:b w:val="0"/>
          <w:sz w:val="30"/>
          <w:szCs w:val="30"/>
        </w:rPr>
        <w:t>一、生态效益</w:t>
      </w:r>
      <w:bookmarkEnd w:id="232"/>
      <w:bookmarkEnd w:id="233"/>
      <w:bookmarkEnd w:id="234"/>
      <w:bookmarkEnd w:id="235"/>
      <w:bookmarkEnd w:id="236"/>
      <w:bookmarkEnd w:id="237"/>
    </w:p>
    <w:p w14:paraId="6F0879F0">
      <w:pPr>
        <w:spacing w:before="0" w:after="0"/>
        <w:ind w:firstLine="602"/>
        <w:outlineLvl w:val="3"/>
        <w:rPr>
          <w:rStyle w:val="31"/>
          <w:rFonts w:ascii="仿宋_GB2312" w:eastAsia="仿宋_GB2312"/>
          <w:sz w:val="30"/>
          <w:szCs w:val="30"/>
        </w:rPr>
      </w:pPr>
      <w:r>
        <w:rPr>
          <w:rStyle w:val="31"/>
          <w:rFonts w:hint="eastAsia" w:ascii="仿宋_GB2312" w:eastAsia="仿宋_GB2312"/>
          <w:sz w:val="30"/>
          <w:szCs w:val="30"/>
        </w:rPr>
        <w:t>（一）优化生态安全格局，保障区域生态安全</w:t>
      </w:r>
    </w:p>
    <w:p w14:paraId="09EB9A58">
      <w:pPr>
        <w:spacing w:before="0" w:after="0"/>
        <w:ind w:firstLine="560"/>
      </w:pPr>
      <w:r>
        <w:t>通过构建“</w:t>
      </w:r>
      <w:r>
        <w:rPr>
          <w:rFonts w:hint="eastAsia"/>
        </w:rPr>
        <w:t>一心两脉四区多点</w:t>
      </w:r>
      <w:r>
        <w:t>”</w:t>
      </w:r>
      <w:r>
        <w:rPr>
          <w:rFonts w:hint="eastAsia"/>
        </w:rPr>
        <w:t>的</w:t>
      </w:r>
      <w:r>
        <w:t>生态保护修复格局，分类实施生态修复</w:t>
      </w:r>
      <w:r>
        <w:rPr>
          <w:rFonts w:hint="eastAsia"/>
        </w:rPr>
        <w:t>重大工程</w:t>
      </w:r>
      <w:r>
        <w:t>，</w:t>
      </w:r>
      <w:r>
        <w:rPr>
          <w:rFonts w:hint="eastAsia"/>
        </w:rPr>
        <w:t>可充分保护县域内</w:t>
      </w:r>
      <w:r>
        <w:t>河湖、森林、湿地</w:t>
      </w:r>
      <w:r>
        <w:rPr>
          <w:rFonts w:hint="eastAsia"/>
        </w:rPr>
        <w:t>、农田等生态</w:t>
      </w:r>
      <w:r>
        <w:t>资源，修复核心生态要素和自然景观，增加生态调节服务产品，</w:t>
      </w:r>
      <w:r>
        <w:rPr>
          <w:rFonts w:hint="eastAsia" w:ascii="Times New Roman" w:hAnsi="Times New Roman"/>
          <w:szCs w:val="28"/>
        </w:rPr>
        <w:t>改善农业生态环境，提升农田生态功能，</w:t>
      </w:r>
      <w:r>
        <w:t>促进生物多样性</w:t>
      </w:r>
      <w:r>
        <w:rPr>
          <w:rFonts w:hint="eastAsia"/>
        </w:rPr>
        <w:t>和</w:t>
      </w:r>
      <w:r>
        <w:t>水土保持与水源涵养能力</w:t>
      </w:r>
      <w:r>
        <w:rPr>
          <w:rFonts w:hint="eastAsia"/>
        </w:rPr>
        <w:t>的</w:t>
      </w:r>
      <w:r>
        <w:t>提升</w:t>
      </w:r>
      <w:r>
        <w:rPr>
          <w:rFonts w:hint="eastAsia"/>
        </w:rPr>
        <w:t>。同时</w:t>
      </w:r>
      <w:r>
        <w:rPr>
          <w:rFonts w:hint="eastAsia" w:ascii="Times New Roman" w:hAnsi="Times New Roman"/>
          <w:szCs w:val="28"/>
        </w:rPr>
        <w:t>也将促进生态系统的平衡，减少生物入侵危害，</w:t>
      </w:r>
      <w:r>
        <w:t>改善</w:t>
      </w:r>
      <w:r>
        <w:rPr>
          <w:rFonts w:hint="eastAsia"/>
        </w:rPr>
        <w:t>全县</w:t>
      </w:r>
      <w:r>
        <w:t>生态环境质量，维护区域重要生态功能，</w:t>
      </w:r>
      <w:r>
        <w:rPr>
          <w:rFonts w:hint="eastAsia"/>
        </w:rPr>
        <w:t>充分</w:t>
      </w:r>
      <w:r>
        <w:t>加强区域生态安全水平，筑牢区域生态安全屏障。</w:t>
      </w:r>
    </w:p>
    <w:p w14:paraId="0ADC2EA1">
      <w:pPr>
        <w:spacing w:before="0" w:after="0"/>
        <w:ind w:firstLine="602"/>
        <w:outlineLvl w:val="3"/>
        <w:rPr>
          <w:rStyle w:val="31"/>
          <w:rFonts w:ascii="仿宋_GB2312" w:eastAsia="仿宋_GB2312"/>
          <w:sz w:val="30"/>
          <w:szCs w:val="30"/>
        </w:rPr>
      </w:pPr>
      <w:r>
        <w:rPr>
          <w:rStyle w:val="31"/>
          <w:rFonts w:hint="eastAsia" w:ascii="仿宋_GB2312" w:eastAsia="仿宋_GB2312"/>
          <w:sz w:val="30"/>
          <w:szCs w:val="30"/>
        </w:rPr>
        <w:t>（二）</w:t>
      </w:r>
      <w:r>
        <w:rPr>
          <w:rStyle w:val="31"/>
          <w:rFonts w:ascii="仿宋_GB2312" w:eastAsia="仿宋_GB2312"/>
          <w:sz w:val="30"/>
          <w:szCs w:val="30"/>
        </w:rPr>
        <w:t>提升</w:t>
      </w:r>
      <w:r>
        <w:rPr>
          <w:rStyle w:val="31"/>
          <w:rFonts w:hint="eastAsia" w:ascii="仿宋_GB2312" w:eastAsia="仿宋_GB2312"/>
          <w:sz w:val="30"/>
          <w:szCs w:val="30"/>
        </w:rPr>
        <w:t>湿地生态功能</w:t>
      </w:r>
      <w:r>
        <w:rPr>
          <w:rStyle w:val="31"/>
          <w:rFonts w:ascii="仿宋_GB2312" w:eastAsia="仿宋_GB2312"/>
          <w:sz w:val="30"/>
          <w:szCs w:val="30"/>
        </w:rPr>
        <w:t>，</w:t>
      </w:r>
      <w:r>
        <w:rPr>
          <w:rStyle w:val="31"/>
          <w:rFonts w:hint="eastAsia" w:ascii="仿宋_GB2312" w:eastAsia="仿宋_GB2312"/>
          <w:sz w:val="30"/>
          <w:szCs w:val="30"/>
        </w:rPr>
        <w:t>筑牢鄱阳湖滨生态屏障</w:t>
      </w:r>
    </w:p>
    <w:p w14:paraId="6D62BAA2">
      <w:pPr>
        <w:spacing w:before="0" w:after="0"/>
        <w:ind w:firstLine="560"/>
        <w:rPr>
          <w:rFonts w:ascii="Times New Roman" w:hAnsi="Times New Roman"/>
          <w:szCs w:val="28"/>
        </w:rPr>
      </w:pPr>
      <w:r>
        <w:rPr>
          <w:rFonts w:ascii="Times New Roman" w:hAnsi="Times New Roman"/>
          <w:szCs w:val="28"/>
        </w:rPr>
        <w:t>通过</w:t>
      </w:r>
      <w:r>
        <w:rPr>
          <w:rFonts w:hint="eastAsia" w:ascii="Times New Roman" w:hAnsi="Times New Roman"/>
          <w:szCs w:val="28"/>
        </w:rPr>
        <w:t>国土空间生态修复重点工程</w:t>
      </w:r>
      <w:r>
        <w:rPr>
          <w:rFonts w:ascii="Times New Roman" w:hAnsi="Times New Roman"/>
          <w:szCs w:val="28"/>
        </w:rPr>
        <w:t>的实施，能有效的修复</w:t>
      </w:r>
      <w:r>
        <w:rPr>
          <w:rFonts w:hint="eastAsia" w:ascii="Times New Roman" w:hAnsi="Times New Roman"/>
          <w:szCs w:val="28"/>
        </w:rPr>
        <w:t>南昌县湿地生态系统</w:t>
      </w:r>
      <w:r>
        <w:rPr>
          <w:rFonts w:ascii="Times New Roman" w:hAnsi="Times New Roman"/>
          <w:szCs w:val="28"/>
        </w:rPr>
        <w:t>，</w:t>
      </w:r>
      <w:r>
        <w:rPr>
          <w:rFonts w:hint="eastAsia" w:ascii="Times New Roman" w:hAnsi="Times New Roman"/>
          <w:szCs w:val="28"/>
        </w:rPr>
        <w:t>增加河漫滩湿地面积，</w:t>
      </w:r>
      <w:r>
        <w:rPr>
          <w:rFonts w:ascii="Times New Roman" w:hAnsi="Times New Roman"/>
          <w:szCs w:val="28"/>
        </w:rPr>
        <w:t>减少人为活动对河湖湿地的干扰</w:t>
      </w:r>
      <w:r>
        <w:rPr>
          <w:rFonts w:hint="eastAsia" w:ascii="Times New Roman" w:hAnsi="Times New Roman"/>
          <w:szCs w:val="28"/>
        </w:rPr>
        <w:t>。同时</w:t>
      </w:r>
      <w:r>
        <w:rPr>
          <w:rFonts w:ascii="Times New Roman" w:hAnsi="Times New Roman"/>
          <w:szCs w:val="28"/>
        </w:rPr>
        <w:t>降低入河污染负荷，改善江河及鄱阳湖南部外围湖泊入湖水质，提升湿地生态系统生态功能，增强鄱阳湖主体湖区的前置拦截功能，</w:t>
      </w:r>
      <w:r>
        <w:rPr>
          <w:rFonts w:hint="eastAsia" w:ascii="Times New Roman" w:hAnsi="Times New Roman"/>
          <w:szCs w:val="28"/>
        </w:rPr>
        <w:t>以</w:t>
      </w:r>
      <w:r>
        <w:rPr>
          <w:rFonts w:ascii="Times New Roman" w:hAnsi="Times New Roman"/>
          <w:szCs w:val="28"/>
        </w:rPr>
        <w:t>净化入湖水质，保障鄱阳湖水质和长江水系生态安全</w:t>
      </w:r>
      <w:r>
        <w:rPr>
          <w:rFonts w:hint="eastAsia" w:ascii="Times New Roman" w:hAnsi="Times New Roman"/>
          <w:szCs w:val="28"/>
        </w:rPr>
        <w:t>，进一步</w:t>
      </w:r>
      <w:r>
        <w:rPr>
          <w:rFonts w:ascii="Times New Roman" w:hAnsi="Times New Roman"/>
          <w:szCs w:val="28"/>
        </w:rPr>
        <w:t>提升鄱阳湖生态系统抗风险能力</w:t>
      </w:r>
      <w:r>
        <w:rPr>
          <w:rFonts w:hint="eastAsia" w:ascii="Times New Roman" w:hAnsi="Times New Roman"/>
          <w:szCs w:val="28"/>
        </w:rPr>
        <w:t>。此外</w:t>
      </w:r>
      <w:r>
        <w:rPr>
          <w:rFonts w:ascii="Times New Roman" w:hAnsi="Times New Roman"/>
          <w:szCs w:val="28"/>
        </w:rPr>
        <w:t>通过生物</w:t>
      </w:r>
      <w:r>
        <w:rPr>
          <w:rFonts w:hint="eastAsia" w:ascii="Times New Roman" w:hAnsi="Times New Roman"/>
          <w:szCs w:val="28"/>
        </w:rPr>
        <w:t>栖息地</w:t>
      </w:r>
      <w:r>
        <w:rPr>
          <w:rFonts w:ascii="Times New Roman" w:hAnsi="Times New Roman"/>
          <w:szCs w:val="28"/>
        </w:rPr>
        <w:t>的建设能够大大增强候鸟迁徙地的保护，维护鄱阳湖的主体生态功能</w:t>
      </w:r>
      <w:r>
        <w:rPr>
          <w:rFonts w:hint="eastAsia" w:ascii="Times New Roman" w:hAnsi="Times New Roman"/>
          <w:szCs w:val="28"/>
        </w:rPr>
        <w:t>，筑牢鄱阳湖滨生态屏障。</w:t>
      </w:r>
    </w:p>
    <w:p w14:paraId="675F6445">
      <w:pPr>
        <w:spacing w:before="0" w:after="0"/>
        <w:ind w:firstLine="602"/>
        <w:rPr>
          <w:rStyle w:val="31"/>
          <w:rFonts w:ascii="仿宋_GB2312" w:eastAsia="仿宋_GB2312"/>
          <w:sz w:val="30"/>
          <w:szCs w:val="30"/>
        </w:rPr>
      </w:pPr>
      <w:r>
        <w:rPr>
          <w:rStyle w:val="31"/>
          <w:rFonts w:hint="eastAsia" w:ascii="仿宋_GB2312" w:eastAsia="仿宋_GB2312"/>
          <w:sz w:val="30"/>
          <w:szCs w:val="30"/>
        </w:rPr>
        <w:t>（三）保护动植物栖息地，增强生物多样性水平</w:t>
      </w:r>
    </w:p>
    <w:p w14:paraId="38890CF5">
      <w:pPr>
        <w:spacing w:before="0" w:after="0"/>
        <w:ind w:firstLine="560"/>
      </w:pPr>
      <w:r>
        <w:t>通过开展自然保护地保护、生态廊道建设、动植物栖息地保护等措施，</w:t>
      </w:r>
      <w:r>
        <w:rPr>
          <w:rFonts w:hint="eastAsia"/>
        </w:rPr>
        <w:t>可加强南昌县</w:t>
      </w:r>
      <w:r>
        <w:t>生态系统</w:t>
      </w:r>
      <w:r>
        <w:rPr>
          <w:rFonts w:hint="eastAsia"/>
        </w:rPr>
        <w:t>的</w:t>
      </w:r>
      <w:r>
        <w:t>整体性和连通性，逐步优化</w:t>
      </w:r>
      <w:r>
        <w:rPr>
          <w:rFonts w:hint="eastAsia"/>
        </w:rPr>
        <w:t>生物</w:t>
      </w:r>
      <w:r>
        <w:t>生存空间，</w:t>
      </w:r>
      <w:r>
        <w:rPr>
          <w:rFonts w:hint="eastAsia"/>
        </w:rPr>
        <w:t>促进</w:t>
      </w:r>
      <w:r>
        <w:t>野生动植物栖息和繁衍环境明显好转</w:t>
      </w:r>
      <w:r>
        <w:rPr>
          <w:rFonts w:hint="eastAsia"/>
        </w:rPr>
        <w:t>。规划实施后全县</w:t>
      </w:r>
      <w:r>
        <w:t>生物多样性保护网络</w:t>
      </w:r>
      <w:r>
        <w:rPr>
          <w:rFonts w:hint="eastAsia"/>
        </w:rPr>
        <w:t>将进一步</w:t>
      </w:r>
      <w:r>
        <w:t>完善，</w:t>
      </w:r>
      <w:r>
        <w:rPr>
          <w:rFonts w:hint="eastAsia"/>
        </w:rPr>
        <w:t>为野生动植物栖息和繁衍提供良好的保护体系和生存环境，使长江江豚、白鹤等珍稀濒</w:t>
      </w:r>
      <w:r>
        <w:t>危野生动植物资源</w:t>
      </w:r>
      <w:r>
        <w:rPr>
          <w:rFonts w:hint="eastAsia"/>
        </w:rPr>
        <w:t>得到有效保护，从而丰富全县生物多样性。</w:t>
      </w:r>
    </w:p>
    <w:p w14:paraId="4FE61D1E">
      <w:pPr>
        <w:spacing w:before="0" w:after="0"/>
        <w:ind w:firstLine="602"/>
        <w:outlineLvl w:val="3"/>
        <w:rPr>
          <w:rStyle w:val="31"/>
          <w:rFonts w:ascii="仿宋_GB2312" w:eastAsia="仿宋_GB2312"/>
          <w:sz w:val="30"/>
          <w:szCs w:val="30"/>
        </w:rPr>
      </w:pPr>
      <w:r>
        <w:rPr>
          <w:rStyle w:val="31"/>
          <w:rFonts w:hint="eastAsia" w:ascii="仿宋_GB2312" w:eastAsia="仿宋_GB2312"/>
          <w:sz w:val="30"/>
          <w:szCs w:val="30"/>
        </w:rPr>
        <w:t>（四）改善水生态环境，</w:t>
      </w:r>
      <w:bookmarkStart w:id="238" w:name="_Hlk129018931"/>
      <w:r>
        <w:rPr>
          <w:rStyle w:val="31"/>
          <w:rFonts w:hint="eastAsia" w:ascii="仿宋_GB2312" w:eastAsia="仿宋_GB2312"/>
          <w:sz w:val="30"/>
          <w:szCs w:val="30"/>
        </w:rPr>
        <w:t>增强水韵昌南都市魅力</w:t>
      </w:r>
      <w:bookmarkEnd w:id="238"/>
    </w:p>
    <w:p w14:paraId="3AA84AC7">
      <w:pPr>
        <w:spacing w:before="0" w:after="0"/>
        <w:ind w:firstLine="560"/>
        <w:rPr>
          <w:rFonts w:hAnsi="Times New Roman"/>
          <w:szCs w:val="28"/>
        </w:rPr>
      </w:pPr>
      <w:r>
        <w:rPr>
          <w:rFonts w:hint="eastAsia" w:ascii="Times New Roman" w:hAnsi="Times New Roman"/>
          <w:szCs w:val="28"/>
        </w:rPr>
        <w:t>通过实施水资源保护、河湖生态保护修复、水土保持、城乡水环境综合治理等工程，可使河道两侧地下水位得到显著抬升，南</w:t>
      </w:r>
      <w:r>
        <w:rPr>
          <w:rFonts w:hint="eastAsia" w:hAnsi="Times New Roman"/>
          <w:szCs w:val="28"/>
        </w:rPr>
        <w:t>昌县枯水期水域面积可由现状的</w:t>
      </w:r>
      <w:r>
        <w:rPr>
          <w:rFonts w:hAnsi="Times New Roman"/>
          <w:szCs w:val="28"/>
        </w:rPr>
        <w:t>268</w:t>
      </w:r>
      <w:r>
        <w:rPr>
          <w:rFonts w:hint="eastAsia" w:hAnsi="Times New Roman"/>
          <w:szCs w:val="28"/>
        </w:rPr>
        <w:t>平方公里增加至</w:t>
      </w:r>
      <w:r>
        <w:rPr>
          <w:rFonts w:hAnsi="Times New Roman"/>
          <w:szCs w:val="28"/>
        </w:rPr>
        <w:t>376</w:t>
      </w:r>
      <w:r>
        <w:rPr>
          <w:rFonts w:hint="eastAsia" w:hAnsi="Times New Roman"/>
          <w:szCs w:val="28"/>
        </w:rPr>
        <w:t>平方公里，水面面积增加约</w:t>
      </w:r>
      <w:r>
        <w:rPr>
          <w:rFonts w:hAnsi="Times New Roman"/>
          <w:szCs w:val="28"/>
        </w:rPr>
        <w:t>40.3%</w:t>
      </w:r>
      <w:r>
        <w:rPr>
          <w:rFonts w:hint="eastAsia" w:hAnsi="Times New Roman"/>
          <w:szCs w:val="28"/>
        </w:rPr>
        <w:t>，河湖水面率将由现状的</w:t>
      </w:r>
      <w:r>
        <w:rPr>
          <w:rFonts w:hAnsi="Times New Roman"/>
          <w:szCs w:val="28"/>
        </w:rPr>
        <w:t>14%</w:t>
      </w:r>
      <w:r>
        <w:rPr>
          <w:rFonts w:hint="eastAsia" w:hAnsi="Times New Roman"/>
          <w:szCs w:val="28"/>
        </w:rPr>
        <w:t>提高到</w:t>
      </w:r>
      <w:r>
        <w:rPr>
          <w:rFonts w:hAnsi="Times New Roman"/>
          <w:szCs w:val="28"/>
        </w:rPr>
        <w:t>20%</w:t>
      </w:r>
      <w:r>
        <w:rPr>
          <w:rFonts w:hint="eastAsia" w:hAnsi="Times New Roman"/>
          <w:szCs w:val="28"/>
        </w:rPr>
        <w:t>左右，从而</w:t>
      </w:r>
      <w:r>
        <w:rPr>
          <w:rFonts w:hint="eastAsia" w:ascii="Times New Roman" w:hAnsi="Times New Roman"/>
          <w:szCs w:val="28"/>
        </w:rPr>
        <w:t>逐步改善和恢复赣江、抚河流域水资源、水生态、水环境调节功能。通过</w:t>
      </w:r>
      <w:r>
        <w:rPr>
          <w:rFonts w:hint="eastAsia" w:hAnsi="Times New Roman"/>
          <w:szCs w:val="28"/>
        </w:rPr>
        <w:t>连通城乡水系网络，将江、河、湖自然景观要素引入城市，形成湖泊坑塘相互串联的水系格局，全面改善城乡水生态环境面貌，促进水城融合，从而构建拥江伴河的“盛美水城”，展现“水韵昌南”的都市魅力。</w:t>
      </w:r>
    </w:p>
    <w:p w14:paraId="4D65A3E0">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239" w:name="_Toc121081803"/>
      <w:bookmarkStart w:id="240" w:name="_Toc98173006"/>
      <w:bookmarkStart w:id="241" w:name="_Toc88162834"/>
      <w:bookmarkStart w:id="242" w:name="_Toc86257470"/>
      <w:bookmarkStart w:id="243" w:name="_Toc127908987"/>
      <w:bookmarkStart w:id="244" w:name="_Toc78481243"/>
      <w:r>
        <w:rPr>
          <w:rFonts w:hint="eastAsia" w:ascii="黑体" w:hAnsi="黑体" w:eastAsia="黑体" w:cs="黑体"/>
          <w:b w:val="0"/>
          <w:sz w:val="30"/>
          <w:szCs w:val="30"/>
        </w:rPr>
        <w:t>二、社会效益</w:t>
      </w:r>
      <w:bookmarkEnd w:id="239"/>
      <w:bookmarkEnd w:id="240"/>
      <w:bookmarkEnd w:id="241"/>
      <w:bookmarkEnd w:id="242"/>
      <w:bookmarkEnd w:id="243"/>
      <w:bookmarkEnd w:id="244"/>
    </w:p>
    <w:p w14:paraId="45F50E16">
      <w:pPr>
        <w:pStyle w:val="5"/>
        <w:spacing w:before="156" w:beforeLines="50" w:after="156" w:afterLines="50" w:line="360" w:lineRule="auto"/>
        <w:ind w:firstLine="602"/>
        <w:rPr>
          <w:rFonts w:ascii="仿宋_GB2312" w:eastAsia="仿宋_GB2312"/>
          <w:sz w:val="30"/>
          <w:szCs w:val="30"/>
        </w:rPr>
      </w:pPr>
      <w:r>
        <w:rPr>
          <w:rFonts w:hint="eastAsia" w:ascii="仿宋_GB2312" w:eastAsia="仿宋_GB2312"/>
          <w:sz w:val="30"/>
          <w:szCs w:val="30"/>
        </w:rPr>
        <w:t>（一）</w:t>
      </w:r>
      <w:bookmarkStart w:id="245" w:name="_Hlk116069414"/>
      <w:r>
        <w:rPr>
          <w:rFonts w:hint="eastAsia" w:ascii="仿宋_GB2312" w:eastAsia="仿宋_GB2312"/>
          <w:sz w:val="30"/>
          <w:szCs w:val="30"/>
        </w:rPr>
        <w:t>增强公众生态文明意识，实现人与自然和谐发展</w:t>
      </w:r>
      <w:bookmarkEnd w:id="245"/>
    </w:p>
    <w:p w14:paraId="495ACC92">
      <w:pPr>
        <w:spacing w:before="0" w:after="0"/>
        <w:ind w:firstLine="560"/>
      </w:pPr>
      <w:bookmarkStart w:id="246" w:name="_Hlk116069427"/>
      <w:r>
        <w:rPr>
          <w:rFonts w:hint="eastAsia"/>
        </w:rPr>
        <w:t>通过南昌县国土空间生态修复规划重大工程的实施，政府、企业和人民群众对生态保护修复的重要性和价值将有更充分的认识，有利于树立尊重自然、保护自然、善待自然的科学理念，营造全社会关心生态、支持生态的良好氛围。同时引导、鼓励居民在生产和生活中形成保护生态、减少污染的良好习惯，自觉践行绿色生产生活方式，形成全社会共治、共管、共享的生态文明新格局，最终实现人与自然和谐发展</w:t>
      </w:r>
      <w:bookmarkEnd w:id="246"/>
      <w:r>
        <w:rPr>
          <w:rFonts w:hint="eastAsia"/>
        </w:rPr>
        <w:t>，形成全社会参与，共治、共管、共享的南昌县生态文明新格局。</w:t>
      </w:r>
    </w:p>
    <w:p w14:paraId="18F6C353">
      <w:pPr>
        <w:pStyle w:val="5"/>
        <w:spacing w:before="156" w:beforeLines="50" w:after="156" w:afterLines="50" w:line="360" w:lineRule="auto"/>
        <w:ind w:firstLine="602"/>
        <w:rPr>
          <w:rFonts w:ascii="仿宋_GB2312" w:eastAsia="仿宋_GB2312"/>
          <w:sz w:val="30"/>
          <w:szCs w:val="30"/>
        </w:rPr>
      </w:pPr>
      <w:r>
        <w:rPr>
          <w:rFonts w:hint="eastAsia" w:ascii="仿宋_GB2312" w:eastAsia="仿宋_GB2312"/>
          <w:sz w:val="30"/>
          <w:szCs w:val="30"/>
        </w:rPr>
        <w:t>（二）改善人居环境，满足人民对美好生活的向往</w:t>
      </w:r>
    </w:p>
    <w:p w14:paraId="57CC7795">
      <w:pPr>
        <w:spacing w:before="0" w:after="0"/>
        <w:ind w:firstLine="560"/>
        <w:rPr>
          <w:szCs w:val="28"/>
        </w:rPr>
      </w:pPr>
      <w:r>
        <w:rPr>
          <w:rFonts w:hint="eastAsia"/>
        </w:rPr>
        <w:t>规划的实施可显著改善县域内尤其是农村区域的人居环境质量，改善生产生活环境、提升民生福祉</w:t>
      </w:r>
      <w:r>
        <w:rPr>
          <w:rFonts w:hint="eastAsia" w:ascii="Times New Roman" w:hAnsi="Times New Roman"/>
        </w:rPr>
        <w:t>，同时推动南昌县的美丽乡村建设，促进科教、文化、卫生事业的发展，群众的文化素质和身体素质得到普遍提高。通过</w:t>
      </w:r>
      <w:r>
        <w:rPr>
          <w:rFonts w:hint="eastAsia"/>
          <w:szCs w:val="28"/>
        </w:rPr>
        <w:t>生态修复重点工程的实施，南昌县人均公园绿地面积、建成区绿化覆盖率将得到稳步提升，</w:t>
      </w:r>
      <w:r>
        <w:rPr>
          <w:rFonts w:hint="eastAsia"/>
        </w:rPr>
        <w:t>促进了城市生态质量提升以及绿地公园景观效果的提升，改善了城乡居民生活环境，提高居民生活质量，</w:t>
      </w:r>
      <w:r>
        <w:rPr>
          <w:rFonts w:hint="eastAsia"/>
          <w:szCs w:val="28"/>
        </w:rPr>
        <w:t>满足广大人民群众对生态文化的需求。</w:t>
      </w:r>
    </w:p>
    <w:p w14:paraId="6CEF1D2C">
      <w:pPr>
        <w:pStyle w:val="5"/>
        <w:spacing w:before="156" w:beforeLines="50" w:after="156" w:afterLines="50" w:line="360" w:lineRule="auto"/>
        <w:ind w:firstLine="602"/>
        <w:rPr>
          <w:rFonts w:ascii="仿宋_GB2312" w:eastAsia="仿宋_GB2312"/>
          <w:sz w:val="30"/>
          <w:szCs w:val="30"/>
        </w:rPr>
      </w:pPr>
      <w:r>
        <w:rPr>
          <w:rFonts w:hint="eastAsia" w:ascii="仿宋_GB2312" w:eastAsia="仿宋_GB2312"/>
          <w:sz w:val="30"/>
          <w:szCs w:val="30"/>
        </w:rPr>
        <w:t>（三）完善城乡空间体系，提升社会保障水平</w:t>
      </w:r>
    </w:p>
    <w:p w14:paraId="28806631">
      <w:pPr>
        <w:spacing w:before="0" w:after="0"/>
        <w:ind w:firstLine="560"/>
      </w:pPr>
      <w:r>
        <w:t>通过生态修复工程</w:t>
      </w:r>
      <w:r>
        <w:rPr>
          <w:rFonts w:hint="eastAsia"/>
        </w:rPr>
        <w:t>的</w:t>
      </w:r>
      <w:r>
        <w:t>实施，</w:t>
      </w:r>
      <w:r>
        <w:rPr>
          <w:rFonts w:hint="eastAsia"/>
        </w:rPr>
        <w:t>可</w:t>
      </w:r>
      <w:r>
        <w:t>构建平衡适宜</w:t>
      </w:r>
      <w:r>
        <w:rPr>
          <w:rFonts w:hint="eastAsia"/>
        </w:rPr>
        <w:t>的</w:t>
      </w:r>
      <w:bookmarkStart w:id="247" w:name="_Hlk129020145"/>
      <w:r>
        <w:t>城乡空间体系</w:t>
      </w:r>
      <w:bookmarkEnd w:id="247"/>
      <w:r>
        <w:t>，</w:t>
      </w:r>
      <w:r>
        <w:rPr>
          <w:rFonts w:hint="eastAsia"/>
        </w:rPr>
        <w:t>通过</w:t>
      </w:r>
      <w:r>
        <w:t>保护和扩大绿地、水域、湿地等生态空间</w:t>
      </w:r>
      <w:r>
        <w:rPr>
          <w:rFonts w:hint="eastAsia"/>
        </w:rPr>
        <w:t>，</w:t>
      </w:r>
      <w:r>
        <w:t>大幅增加生态用地，</w:t>
      </w:r>
      <w:r>
        <w:rPr>
          <w:rFonts w:hint="eastAsia"/>
        </w:rPr>
        <w:t>全县</w:t>
      </w:r>
      <w:r>
        <w:t>城市人均公园绿地面积、建成区绿化覆盖率、乡村绿化覆盖率</w:t>
      </w:r>
      <w:r>
        <w:rPr>
          <w:rFonts w:hint="eastAsia"/>
        </w:rPr>
        <w:t>将</w:t>
      </w:r>
      <w:r>
        <w:t>稳步提升</w:t>
      </w:r>
      <w:r>
        <w:rPr>
          <w:rFonts w:hint="eastAsia"/>
        </w:rPr>
        <w:t>，全面优化</w:t>
      </w:r>
      <w:r>
        <w:t>生活空间。</w:t>
      </w:r>
      <w:r>
        <w:rPr>
          <w:rFonts w:hint="eastAsia"/>
        </w:rPr>
        <w:t>同时，</w:t>
      </w:r>
      <w:r>
        <w:t>城乡要素实现空间有效耦合，实现城市与乡村功能互补，进一步优化城乡社会人口分布格局，逐步创建既能充分利用和享受现代城市生活又具有自然和田园之美的理想家园</w:t>
      </w:r>
      <w:r>
        <w:rPr>
          <w:rFonts w:hint="eastAsia"/>
        </w:rPr>
        <w:t>，显著提升社会保障水平和服务能力。</w:t>
      </w:r>
    </w:p>
    <w:p w14:paraId="1FE8D2D1">
      <w:pPr>
        <w:pStyle w:val="4"/>
        <w:keepNext w:val="0"/>
        <w:keepLines w:val="0"/>
        <w:spacing w:before="187" w:beforeLines="60" w:after="187" w:afterLines="60" w:line="360" w:lineRule="auto"/>
        <w:ind w:firstLine="600"/>
        <w:contextualSpacing/>
        <w:rPr>
          <w:rFonts w:ascii="黑体" w:hAnsi="黑体" w:eastAsia="黑体" w:cs="黑体"/>
          <w:b w:val="0"/>
          <w:sz w:val="30"/>
          <w:szCs w:val="30"/>
        </w:rPr>
      </w:pPr>
      <w:bookmarkStart w:id="248" w:name="_Toc121081804"/>
      <w:bookmarkStart w:id="249" w:name="_Toc98173007"/>
      <w:bookmarkStart w:id="250" w:name="_Toc78481244"/>
      <w:bookmarkStart w:id="251" w:name="_Toc88162835"/>
      <w:bookmarkStart w:id="252" w:name="_Toc127908988"/>
      <w:bookmarkStart w:id="253" w:name="_Toc86257471"/>
      <w:r>
        <w:rPr>
          <w:rFonts w:hint="eastAsia" w:ascii="黑体" w:hAnsi="黑体" w:eastAsia="黑体" w:cs="黑体"/>
          <w:b w:val="0"/>
          <w:sz w:val="30"/>
          <w:szCs w:val="30"/>
        </w:rPr>
        <w:t>三、经济效益</w:t>
      </w:r>
      <w:bookmarkEnd w:id="248"/>
      <w:bookmarkEnd w:id="249"/>
      <w:bookmarkEnd w:id="250"/>
      <w:bookmarkEnd w:id="251"/>
      <w:bookmarkEnd w:id="252"/>
      <w:bookmarkEnd w:id="253"/>
    </w:p>
    <w:p w14:paraId="02F8E26B">
      <w:pPr>
        <w:spacing w:before="0" w:after="0"/>
        <w:ind w:firstLine="602"/>
        <w:outlineLvl w:val="3"/>
        <w:rPr>
          <w:rStyle w:val="31"/>
          <w:rFonts w:ascii="仿宋_GB2312" w:eastAsia="仿宋_GB2312"/>
          <w:sz w:val="30"/>
          <w:szCs w:val="30"/>
        </w:rPr>
      </w:pPr>
      <w:r>
        <w:rPr>
          <w:rStyle w:val="31"/>
          <w:rFonts w:hint="eastAsia" w:ascii="仿宋_GB2312" w:eastAsia="仿宋_GB2312"/>
          <w:sz w:val="30"/>
          <w:szCs w:val="30"/>
        </w:rPr>
        <w:t>（一）提升资源利用效率，推动区域经济转型</w:t>
      </w:r>
    </w:p>
    <w:p w14:paraId="725AD7DB">
      <w:pPr>
        <w:spacing w:before="0" w:after="0"/>
        <w:ind w:firstLine="560"/>
        <w:rPr>
          <w:rFonts w:hAnsi="Times New Roman"/>
          <w:szCs w:val="28"/>
        </w:rPr>
      </w:pPr>
      <w:r>
        <w:rPr>
          <w:rFonts w:hint="eastAsia" w:ascii="Times New Roman" w:hAnsi="Times New Roman"/>
          <w:szCs w:val="28"/>
        </w:rPr>
        <w:t>通过国土空间生态修复重点工程的实施，能增加耕地资源，提高粮食</w:t>
      </w:r>
      <w:r>
        <w:rPr>
          <w:rFonts w:hint="eastAsia" w:hAnsi="Times New Roman"/>
          <w:szCs w:val="28"/>
        </w:rPr>
        <w:t>产量，提升耕地产出效益，推进绿色产业开发，有效地促进农业产业结构的调整和农村产业链的升级，带动农村经济发展。到2025年累计建成0.18万亩高标准农田、改造提升</w:t>
      </w:r>
      <w:r>
        <w:rPr>
          <w:rFonts w:hAnsi="Times New Roman"/>
          <w:szCs w:val="28"/>
        </w:rPr>
        <w:t>35.69</w:t>
      </w:r>
      <w:r>
        <w:rPr>
          <w:rFonts w:hint="eastAsia" w:hAnsi="Times New Roman"/>
          <w:szCs w:val="28"/>
        </w:rPr>
        <w:t>万亩，能够稳定保障粮食产能，新增高标准农田亩均预计可提高粮食综合产能100公斤左右、改造提升高标准农田亩均预计可提高粮食综合产能80公斤左右，节水、节能、节药、节劳效果显著，亩均每年增收节支约300元。加快森林公园、湿地公园、自然保护区、生态农业示范区建设，快速发展生态旅游产业，带动旅游业经济增长，创造出更多的绿色GDP，促进经济发展方式转变。</w:t>
      </w:r>
    </w:p>
    <w:p w14:paraId="30C528F5">
      <w:pPr>
        <w:spacing w:before="0" w:after="0"/>
        <w:ind w:firstLine="602"/>
        <w:outlineLvl w:val="3"/>
        <w:rPr>
          <w:rStyle w:val="31"/>
          <w:rFonts w:ascii="仿宋_GB2312" w:eastAsia="仿宋_GB2312"/>
          <w:sz w:val="30"/>
          <w:szCs w:val="30"/>
        </w:rPr>
      </w:pPr>
      <w:r>
        <w:rPr>
          <w:rStyle w:val="31"/>
          <w:rFonts w:hint="eastAsia" w:ascii="仿宋_GB2312" w:eastAsia="仿宋_GB2312"/>
          <w:sz w:val="30"/>
          <w:szCs w:val="30"/>
        </w:rPr>
        <w:t>（二）促进绿色生态产业发展，带动经济稳定增长</w:t>
      </w:r>
    </w:p>
    <w:p w14:paraId="43FCA790">
      <w:pPr>
        <w:spacing w:before="0" w:after="0"/>
        <w:ind w:firstLine="560"/>
        <w:rPr>
          <w:rFonts w:ascii="Times New Roman" w:hAnsi="Times New Roman"/>
          <w:szCs w:val="28"/>
        </w:rPr>
      </w:pPr>
      <w:r>
        <w:rPr>
          <w:rFonts w:hint="eastAsia" w:ascii="Times New Roman" w:hAnsi="Times New Roman"/>
          <w:szCs w:val="28"/>
        </w:rPr>
        <w:t>通过实施水生态环境保护修复、乡村美化绿化等工程，使得南昌县生态环境得到改善，为生态旅游、林竹康养、林下经济等生态产业发展奠定良好基础，促进林果业、畜牧业、农副产品商贸流通业、旅游业等相关产业的发展，有效拉动内需，有助于促进形成特色突出、布局合理、具有较强竞争优势的生态产业带，推动绿色生态、本地资源与富民产业相结合，将生态优势转化为经济优势。</w:t>
      </w:r>
    </w:p>
    <w:p w14:paraId="1813900A">
      <w:pPr>
        <w:spacing w:before="240" w:after="240" w:line="578" w:lineRule="auto"/>
        <w:ind w:firstLine="0" w:firstLineChars="0"/>
        <w:jc w:val="center"/>
        <w:outlineLvl w:val="0"/>
        <w:rPr>
          <w:rFonts w:ascii="黑体" w:hAnsi="黑体" w:eastAsia="黑体"/>
          <w:sz w:val="36"/>
          <w:szCs w:val="36"/>
        </w:rPr>
      </w:pPr>
      <w:r>
        <w:rPr>
          <w:rFonts w:ascii="Arial" w:hAnsi="Arial" w:cs="Arial"/>
        </w:rPr>
        <w:br w:type="page"/>
      </w:r>
      <w:bookmarkStart w:id="254" w:name="_Toc79423109"/>
      <w:bookmarkStart w:id="255" w:name="_Toc131005130"/>
      <w:bookmarkStart w:id="256" w:name="_Toc86326839"/>
      <w:r>
        <w:rPr>
          <w:rFonts w:hint="eastAsia" w:ascii="黑体" w:hAnsi="黑体" w:eastAsia="黑体"/>
          <w:b/>
          <w:bCs/>
          <w:kern w:val="44"/>
          <w:sz w:val="36"/>
          <w:szCs w:val="36"/>
        </w:rPr>
        <w:t>第七章</w:t>
      </w:r>
      <w:r>
        <w:rPr>
          <w:rFonts w:ascii="黑体" w:hAnsi="黑体" w:eastAsia="黑体"/>
          <w:b/>
          <w:bCs/>
          <w:kern w:val="44"/>
          <w:sz w:val="36"/>
          <w:szCs w:val="36"/>
        </w:rPr>
        <w:t xml:space="preserve">  </w:t>
      </w:r>
      <w:r>
        <w:rPr>
          <w:rFonts w:hint="eastAsia" w:ascii="黑体" w:hAnsi="黑体" w:eastAsia="黑体"/>
          <w:b/>
          <w:bCs/>
          <w:kern w:val="44"/>
          <w:sz w:val="36"/>
          <w:szCs w:val="36"/>
        </w:rPr>
        <w:t>实施保障</w:t>
      </w:r>
      <w:bookmarkEnd w:id="254"/>
      <w:bookmarkEnd w:id="255"/>
      <w:bookmarkEnd w:id="256"/>
    </w:p>
    <w:p w14:paraId="65C1DDF9">
      <w:pPr>
        <w:spacing w:before="260" w:after="260" w:line="560" w:lineRule="exact"/>
        <w:ind w:firstLine="0" w:firstLineChars="0"/>
        <w:jc w:val="center"/>
        <w:outlineLvl w:val="1"/>
        <w:rPr>
          <w:rFonts w:ascii="黑体" w:hAnsi="黑体" w:eastAsia="黑体" w:cs="仿宋"/>
          <w:b/>
          <w:bCs/>
          <w:sz w:val="32"/>
          <w:szCs w:val="32"/>
        </w:rPr>
      </w:pPr>
      <w:bookmarkStart w:id="257" w:name="_Toc86326840"/>
      <w:bookmarkStart w:id="258" w:name="_Toc131005131"/>
      <w:bookmarkStart w:id="259" w:name="_Toc79423110"/>
      <w:r>
        <w:rPr>
          <w:rFonts w:hint="eastAsia" w:ascii="黑体" w:hAnsi="黑体" w:eastAsia="黑体" w:cs="仿宋"/>
          <w:b/>
          <w:bCs/>
          <w:sz w:val="32"/>
          <w:szCs w:val="32"/>
        </w:rPr>
        <w:t>第一节 强化工作组织</w:t>
      </w:r>
      <w:bookmarkEnd w:id="257"/>
      <w:bookmarkEnd w:id="258"/>
      <w:bookmarkEnd w:id="259"/>
    </w:p>
    <w:p w14:paraId="7DBF1B90">
      <w:pPr>
        <w:spacing w:before="0" w:after="0"/>
        <w:ind w:firstLine="562"/>
      </w:pPr>
      <w:r>
        <w:rPr>
          <w:rFonts w:hint="eastAsia"/>
          <w:b/>
          <w:bCs/>
        </w:rPr>
        <w:t>——加强规划实施政府主导，落实地方责任。</w:t>
      </w:r>
      <w:r>
        <w:rPr>
          <w:rFonts w:hint="eastAsia"/>
        </w:rPr>
        <w:t>建立“山水林田湖草沙”生态保护和修复工作协调机制，实行定期研究和会商制度，协调部门和跨区行动，及时解决重大问题，形成党委领导，各有关部门、各级政府共治、共建、共管</w:t>
      </w:r>
      <w:r>
        <w:t>，明确各部门职责分工，为落实国土空间生态修复项目管理职能提供有效的组织保障</w:t>
      </w:r>
      <w:r>
        <w:rPr>
          <w:rFonts w:hint="eastAsia"/>
        </w:rPr>
        <w:t>。相关</w:t>
      </w:r>
      <w:r>
        <w:t>单位要结合实际，尽快制定实施方案，</w:t>
      </w:r>
      <w:r>
        <w:rPr>
          <w:rFonts w:hint="eastAsia"/>
        </w:rPr>
        <w:t>明确责任主体，细化工作目标，强化保障措施，切实把各项政策措施落到实处。</w:t>
      </w:r>
    </w:p>
    <w:p w14:paraId="57815F28">
      <w:pPr>
        <w:spacing w:before="0" w:after="0"/>
        <w:ind w:firstLine="562"/>
      </w:pPr>
      <w:r>
        <w:rPr>
          <w:rFonts w:hint="eastAsia"/>
          <w:b/>
          <w:bCs/>
        </w:rPr>
        <w:t>——落实规划传导机制。</w:t>
      </w:r>
      <w:r>
        <w:t>建立县级国土总体规划</w:t>
      </w:r>
      <w:r>
        <w:rPr>
          <w:rFonts w:hint="eastAsia"/>
        </w:rPr>
        <w:t>—</w:t>
      </w:r>
      <w:r>
        <w:t>生态修复专项规划</w:t>
      </w:r>
      <w:r>
        <w:rPr>
          <w:rFonts w:hint="eastAsia"/>
        </w:rPr>
        <w:t>—</w:t>
      </w:r>
      <w:r>
        <w:t>乡镇国土空间规划的传导机制</w:t>
      </w:r>
      <w:r>
        <w:rPr>
          <w:rFonts w:hint="eastAsia"/>
        </w:rPr>
        <w:t>。将国土空间生态修复规划作为实施全县国土空间生态保护修复工作的重要依据，在编制县级国土空间生态修复规划时要认真落实和细化市级规划确定的国土空间生态修复目标及分区，明确重点项目位置。加强国土空间生态修复规划与国土空间总体规划衔接，并将生态修复规划核心内容纳入南昌县国土空间总体规划中。分目标、分任务、分年度计划安排生态保护修复任务，确定各乡镇、各系统管理机构的职责范围，层层落实，实现县级生态修复规划目标任务的有效传导。</w:t>
      </w:r>
    </w:p>
    <w:p w14:paraId="5DBCF8B3">
      <w:pPr>
        <w:spacing w:before="260" w:after="260" w:line="560" w:lineRule="exact"/>
        <w:ind w:firstLine="0" w:firstLineChars="0"/>
        <w:jc w:val="center"/>
        <w:outlineLvl w:val="1"/>
        <w:rPr>
          <w:rFonts w:ascii="黑体" w:hAnsi="黑体" w:eastAsia="黑体" w:cs="仿宋"/>
          <w:b/>
          <w:bCs/>
          <w:sz w:val="32"/>
          <w:szCs w:val="32"/>
        </w:rPr>
      </w:pPr>
      <w:bookmarkStart w:id="260" w:name="_Toc79423111"/>
      <w:bookmarkStart w:id="261" w:name="_Toc131005132"/>
      <w:bookmarkStart w:id="262" w:name="_Toc86326841"/>
      <w:r>
        <w:rPr>
          <w:rFonts w:hint="eastAsia" w:ascii="黑体" w:hAnsi="黑体" w:eastAsia="黑体" w:cs="仿宋"/>
          <w:b/>
          <w:bCs/>
          <w:sz w:val="32"/>
          <w:szCs w:val="32"/>
        </w:rPr>
        <w:t>第二节 创新政策体系</w:t>
      </w:r>
      <w:bookmarkEnd w:id="260"/>
      <w:bookmarkEnd w:id="261"/>
      <w:bookmarkEnd w:id="262"/>
    </w:p>
    <w:p w14:paraId="25BB8D6B">
      <w:pPr>
        <w:spacing w:before="0" w:after="0"/>
        <w:ind w:firstLine="562"/>
      </w:pPr>
      <w:bookmarkStart w:id="263" w:name="_Hlk98098040"/>
      <w:r>
        <w:rPr>
          <w:rFonts w:hint="eastAsia"/>
          <w:b/>
          <w:bCs/>
        </w:rPr>
        <w:t>——完善生态产品价值实现机制。</w:t>
      </w:r>
      <w:r>
        <w:rPr>
          <w:rFonts w:hint="eastAsia"/>
        </w:rPr>
        <w:t>积极探索政府主导、企业和社会各界参与、市场化运作、可持续的生态产品价值实现路径，提升国土空间生态保护修复项目的市场化程度。通过生态保护修复，扩大优质生态产品的供给能力。建立生态产品的生产、流通、消费与保护的全过程价值实现机制，建立健全归属清晰、权责明确，监管有效的自然资源资产产权制度。将生态产品的价值附着于农产品、工业品、服务产品中，转化为可以直接市场交易的商品，让“好山好水”有了价值实现的机制，推动绿色生态、本地资源与富民产业有机结合。探索将分散的自然资源使用权或经营权进行集中流转和专业化运营，开展生态资源指标及产权交易，推进排污权、用能权、用水权、碳排放权市场化交易，遵循受益者付费原则</w:t>
      </w:r>
      <w:bookmarkEnd w:id="263"/>
      <w:r>
        <w:rPr>
          <w:rFonts w:hint="eastAsia"/>
        </w:rPr>
        <w:t>。</w:t>
      </w:r>
    </w:p>
    <w:p w14:paraId="1CAC560C">
      <w:pPr>
        <w:spacing w:before="0" w:after="0"/>
        <w:ind w:firstLine="562"/>
      </w:pPr>
      <w:r>
        <w:rPr>
          <w:rFonts w:hint="eastAsia"/>
          <w:b/>
          <w:bCs/>
        </w:rPr>
        <w:t>——探索实施项目负面清单制度。</w:t>
      </w:r>
      <w:r>
        <w:rPr>
          <w:rFonts w:hint="eastAsia"/>
        </w:rPr>
        <w:t>严格规范生态保护修复行为，防止发生超越资源环境承载能力、严重违背自然规律的过度人工干预活动，强化生态保护修复负面清单管理，严禁以生态修复之名破坏自然脉络，禁止违背自然地理格局的生态修复工程。对科学性不足、系统性较差、综合目标不明确的项目，进行动态调整，适时更新生态修复项目库。</w:t>
      </w:r>
    </w:p>
    <w:p w14:paraId="0AC80A48">
      <w:pPr>
        <w:spacing w:before="0" w:after="0"/>
        <w:ind w:firstLine="562"/>
      </w:pPr>
      <w:r>
        <w:rPr>
          <w:rFonts w:hint="eastAsia"/>
          <w:b/>
          <w:bCs/>
        </w:rPr>
        <w:t>——拓展国土空间价值实现的路径和方法。</w:t>
      </w:r>
      <w:bookmarkStart w:id="264" w:name="_Hlk98098058"/>
      <w:r>
        <w:rPr>
          <w:rFonts w:hint="eastAsia"/>
        </w:rPr>
        <w:t>通过合理组合生态资源、自然资源投资品，拓展社会资本价值实现的路径和方法，提升国土空间生态保护修复项目的市场化程度。建立健全多元化补偿机制，制定因地制宜的生态补偿条例，完善横纵向转移支付模式，通过贷款贴息、税费减免等方式助力项目融资、提升社会资本回报水平。推进新增建设用地指标、地票等指标让渡交易市场建设，以帮助参与生态修复的市场主体将环境效益转化为经济效益</w:t>
      </w:r>
      <w:bookmarkEnd w:id="264"/>
      <w:r>
        <w:rPr>
          <w:rFonts w:hint="eastAsia"/>
        </w:rPr>
        <w:t>。</w:t>
      </w:r>
    </w:p>
    <w:p w14:paraId="0B7BF1C1">
      <w:pPr>
        <w:spacing w:before="260" w:after="260" w:line="560" w:lineRule="exact"/>
        <w:ind w:firstLine="0" w:firstLineChars="0"/>
        <w:jc w:val="center"/>
        <w:outlineLvl w:val="1"/>
        <w:rPr>
          <w:rFonts w:ascii="黑体" w:hAnsi="黑体" w:eastAsia="黑体" w:cs="仿宋"/>
          <w:b/>
          <w:bCs/>
          <w:sz w:val="32"/>
          <w:szCs w:val="32"/>
        </w:rPr>
      </w:pPr>
      <w:bookmarkStart w:id="265" w:name="_Toc79423112"/>
      <w:bookmarkStart w:id="266" w:name="_Toc131005133"/>
      <w:bookmarkStart w:id="267" w:name="_Toc86326842"/>
      <w:r>
        <w:rPr>
          <w:rFonts w:hint="eastAsia" w:ascii="黑体" w:hAnsi="黑体" w:eastAsia="黑体" w:cs="仿宋"/>
          <w:b/>
          <w:bCs/>
          <w:sz w:val="32"/>
          <w:szCs w:val="32"/>
        </w:rPr>
        <w:t>第三节 加强技术支撑</w:t>
      </w:r>
      <w:bookmarkEnd w:id="265"/>
      <w:bookmarkEnd w:id="266"/>
      <w:bookmarkEnd w:id="267"/>
    </w:p>
    <w:p w14:paraId="29E93BCB">
      <w:pPr>
        <w:widowControl/>
        <w:spacing w:before="0" w:after="0" w:line="240" w:lineRule="auto"/>
        <w:ind w:firstLine="562"/>
        <w:jc w:val="left"/>
      </w:pPr>
      <w:r>
        <w:rPr>
          <w:rFonts w:hint="eastAsia"/>
          <w:b/>
          <w:bCs/>
        </w:rPr>
        <w:t>——完善技术标准体系。</w:t>
      </w:r>
      <w:r>
        <w:rPr>
          <w:rFonts w:hint="eastAsia"/>
        </w:rPr>
        <w:t>加强技术标准规范配套和相关专题研究，加强生态修复科研攻关和技术支撑，推广示范适用技术，构建调查、监测、修复、评估生态修复技术标准体系。</w:t>
      </w:r>
    </w:p>
    <w:p w14:paraId="76377194">
      <w:pPr>
        <w:spacing w:before="0" w:after="0"/>
        <w:ind w:firstLine="562"/>
      </w:pPr>
      <w:r>
        <w:rPr>
          <w:rFonts w:hint="eastAsia"/>
          <w:b/>
          <w:bCs/>
        </w:rPr>
        <w:t>——加强信息化应用。</w:t>
      </w:r>
      <w:r>
        <w:rPr>
          <w:rFonts w:hint="eastAsia"/>
        </w:rPr>
        <w:t>依托国土空间基础信息平台和国土空间规划“一张图”实施监督信息系统，搭建县级国土空间生态修复管理信息系统，开展项目申报、规划设计、工程施工、竣工验收、综合评估等全生命周期跟踪监管，实现精细化管理。</w:t>
      </w:r>
    </w:p>
    <w:p w14:paraId="084223F4">
      <w:pPr>
        <w:spacing w:before="0" w:after="0"/>
        <w:ind w:firstLine="562"/>
      </w:pPr>
      <w:r>
        <w:rPr>
          <w:rFonts w:hint="eastAsia"/>
          <w:b/>
          <w:bCs/>
        </w:rPr>
        <w:t>——增强科技创新能力。</w:t>
      </w:r>
      <w:r>
        <w:rPr>
          <w:rFonts w:hint="eastAsia"/>
        </w:rPr>
        <w:t>加强生态保护修复先进技术的引进、推广，与国家级科研院所、高校和江西省科研机构密切合作，建立健全人才引进、培养和使用激励机制。建立专项基金，给予主导产业的高端人才优惠政策，吸引生态环保建设领域所需的各类高科技人才落户，培养一支懂业务、善协调、会管理的生态保护修复专业队伍。</w:t>
      </w:r>
    </w:p>
    <w:p w14:paraId="2388BFF5">
      <w:pPr>
        <w:spacing w:before="260" w:after="260" w:line="560" w:lineRule="exact"/>
        <w:ind w:firstLine="0" w:firstLineChars="0"/>
        <w:jc w:val="center"/>
        <w:outlineLvl w:val="1"/>
        <w:rPr>
          <w:rFonts w:ascii="黑体" w:hAnsi="黑体" w:eastAsia="黑体" w:cs="仿宋"/>
          <w:b/>
          <w:bCs/>
          <w:sz w:val="32"/>
          <w:szCs w:val="32"/>
        </w:rPr>
      </w:pPr>
      <w:bookmarkStart w:id="268" w:name="_Toc86326843"/>
      <w:bookmarkStart w:id="269" w:name="_Toc79423113"/>
      <w:bookmarkStart w:id="270" w:name="_Toc131005134"/>
      <w:r>
        <w:rPr>
          <w:rFonts w:hint="eastAsia" w:ascii="黑体" w:hAnsi="黑体" w:eastAsia="黑体" w:cs="仿宋"/>
          <w:b/>
          <w:bCs/>
          <w:sz w:val="32"/>
          <w:szCs w:val="32"/>
        </w:rPr>
        <w:t xml:space="preserve">第四节 </w:t>
      </w:r>
      <w:bookmarkEnd w:id="268"/>
      <w:bookmarkEnd w:id="269"/>
      <w:r>
        <w:rPr>
          <w:rFonts w:hint="eastAsia" w:ascii="黑体" w:hAnsi="黑体" w:eastAsia="黑体" w:cs="仿宋"/>
          <w:b/>
          <w:bCs/>
          <w:sz w:val="32"/>
          <w:szCs w:val="32"/>
        </w:rPr>
        <w:t>强化资金保障</w:t>
      </w:r>
      <w:bookmarkEnd w:id="270"/>
    </w:p>
    <w:p w14:paraId="55109F66">
      <w:pPr>
        <w:spacing w:before="0" w:after="0"/>
        <w:ind w:firstLine="560"/>
      </w:pPr>
      <w:r>
        <w:rPr>
          <w:rFonts w:hint="eastAsia"/>
        </w:rPr>
        <w:t>引导生态保护地区和受益地区遵循成本共担、效益共享、合作共治的思路，通过资金补助、产业转移、税收共享等方式共同分担生态保护任务。</w:t>
      </w:r>
      <w:r>
        <w:rPr>
          <w:rFonts w:hint="eastAsia"/>
          <w:szCs w:val="28"/>
        </w:rPr>
        <w:t>在不新增地方政府隐性债务的前提下，支持金融机构参与生态保护修复项目，</w:t>
      </w:r>
      <w:r>
        <w:rPr>
          <w:rFonts w:hint="eastAsia"/>
        </w:rPr>
        <w:t>发挥市场机制配置资源的基础性作用，支持生态项目进行设备融资、发行企业债券和上市融资，允许经营生态建设项目的企业以特许经营权、林地、矿山使用权等作抵押进行贷款。县级各</w:t>
      </w:r>
      <w:r>
        <w:t>主管部门制订资金运作的专项管理措施，并严格把关，</w:t>
      </w:r>
      <w:r>
        <w:rPr>
          <w:rFonts w:hint="eastAsia"/>
        </w:rPr>
        <w:t>保障修复资金专款专用</w:t>
      </w:r>
      <w:r>
        <w:t>,使得有限的资金得以充分发挥其应有的作用</w:t>
      </w:r>
      <w:r>
        <w:rPr>
          <w:rFonts w:hint="eastAsia"/>
        </w:rPr>
        <w:t>。</w:t>
      </w:r>
    </w:p>
    <w:p w14:paraId="63CB9BA7">
      <w:pPr>
        <w:spacing w:before="260" w:after="260" w:line="560" w:lineRule="exact"/>
        <w:ind w:firstLine="0" w:firstLineChars="0"/>
        <w:jc w:val="center"/>
        <w:outlineLvl w:val="1"/>
        <w:rPr>
          <w:rFonts w:ascii="黑体" w:hAnsi="黑体" w:eastAsia="黑体" w:cs="仿宋"/>
          <w:b/>
          <w:bCs/>
          <w:sz w:val="32"/>
          <w:szCs w:val="32"/>
        </w:rPr>
      </w:pPr>
      <w:bookmarkStart w:id="271" w:name="_Toc79423115"/>
      <w:bookmarkStart w:id="272" w:name="_Toc131005135"/>
      <w:bookmarkStart w:id="273" w:name="_Toc86326845"/>
      <w:r>
        <w:rPr>
          <w:rFonts w:hint="eastAsia" w:ascii="黑体" w:hAnsi="黑体" w:eastAsia="黑体" w:cs="仿宋"/>
          <w:b/>
          <w:bCs/>
          <w:sz w:val="32"/>
          <w:szCs w:val="32"/>
        </w:rPr>
        <w:t>第五节 鼓励公众参与</w:t>
      </w:r>
      <w:bookmarkEnd w:id="271"/>
      <w:bookmarkEnd w:id="272"/>
      <w:bookmarkEnd w:id="273"/>
    </w:p>
    <w:p w14:paraId="0D8047AC">
      <w:pPr>
        <w:spacing w:before="0" w:after="0"/>
        <w:ind w:firstLine="560"/>
        <w:rPr>
          <w:rFonts w:ascii="Times New Roman" w:hAnsi="Times New Roman"/>
          <w:szCs w:val="28"/>
        </w:rPr>
      </w:pPr>
      <w:r>
        <w:rPr>
          <w:rFonts w:hint="eastAsia" w:ascii="Times New Roman" w:hAnsi="Times New Roman"/>
          <w:szCs w:val="28"/>
        </w:rPr>
        <w:t>坚持开门编规划，确保国土空间生态修复规划成为广纳民意、集中民智、凝聚民心的一项工作。建立健全多方协商机制，充分发挥各类媒体作用，积极开展政策解读和舆论引导，及时回应社会关切，扩大公众和社会各界参与程度，不断提升公众规划认知度，为国土空间生态修复规划营造良好社会氛围。通过新闻媒体广泛征求和听取公众意见，适时宣传规划工作的重要部署、重大进展和重要成果，协调各方利益，营造全民共保共建共享的社会氛围。</w:t>
      </w:r>
    </w:p>
    <w:p w14:paraId="51D6177B">
      <w:pPr>
        <w:spacing w:before="260" w:after="260" w:line="560" w:lineRule="exact"/>
        <w:ind w:firstLine="0" w:firstLineChars="0"/>
        <w:jc w:val="center"/>
        <w:outlineLvl w:val="1"/>
        <w:rPr>
          <w:rFonts w:ascii="黑体" w:hAnsi="黑体" w:eastAsia="黑体" w:cs="仿宋"/>
          <w:b/>
          <w:bCs/>
          <w:sz w:val="32"/>
          <w:szCs w:val="32"/>
        </w:rPr>
      </w:pPr>
      <w:bookmarkStart w:id="274" w:name="_Toc131005136"/>
      <w:r>
        <w:rPr>
          <w:rFonts w:hint="eastAsia" w:ascii="黑体" w:hAnsi="黑体" w:eastAsia="黑体" w:cs="仿宋"/>
          <w:b/>
          <w:bCs/>
          <w:sz w:val="32"/>
          <w:szCs w:val="32"/>
        </w:rPr>
        <w:t>第六节 加强监测监管</w:t>
      </w:r>
      <w:bookmarkEnd w:id="274"/>
    </w:p>
    <w:p w14:paraId="3FD0A0F1">
      <w:pPr>
        <w:spacing w:before="0" w:after="0"/>
        <w:ind w:firstLine="560"/>
        <w:rPr>
          <w:rFonts w:ascii="Times New Roman" w:hAnsi="Times New Roman"/>
          <w:szCs w:val="28"/>
        </w:rPr>
        <w:sectPr>
          <w:pgSz w:w="11906" w:h="16838"/>
          <w:pgMar w:top="1440" w:right="1800" w:bottom="1440" w:left="1800" w:header="851" w:footer="992" w:gutter="0"/>
          <w:cols w:space="720" w:num="1"/>
          <w:docGrid w:type="lines" w:linePitch="312" w:charSpace="0"/>
        </w:sectPr>
      </w:pPr>
      <w:r>
        <w:rPr>
          <w:rFonts w:hint="eastAsia" w:ascii="Times New Roman" w:hAnsi="Times New Roman"/>
          <w:szCs w:val="28"/>
        </w:rPr>
        <w:t>基于南昌市国土空间规划“一张图”数据体系，整合与生态修复相关的基础地理规划成果数据、工程项目实施及监管数据。梳理优化生态修复业务流程、实现“一张图”呈现、全流程管理及多部门共享，促进生态修复业务全程监管，全方位监测。评价和管理生态修复进程，动态监测项目实施阶段各项指标，并对项目实施成效进行评估，构建全生命周期监测评估管理机制。将生态修复主要任务纳入各级综合考核评价体系，接受人大监督、审计部门审计，相关考核情况纳入自然资源执法督察和领导干部离任审计。对违背科学发展要求、造成资源环境生态严重破坏的，严格责任追究。加强规划执行情况监督和检查，定期公布重点工程项目进展情况和规划目标完成情况，开展生态修复规划项目实施情况全面评估，包括中期评估和终期评估。</w:t>
      </w:r>
    </w:p>
    <w:p w14:paraId="18473209">
      <w:pPr>
        <w:spacing w:before="240" w:after="240" w:line="578" w:lineRule="auto"/>
        <w:ind w:firstLine="0" w:firstLineChars="0"/>
        <w:jc w:val="center"/>
        <w:outlineLvl w:val="0"/>
        <w:rPr>
          <w:rFonts w:ascii="黑体" w:hAnsi="黑体" w:eastAsia="黑体"/>
          <w:b/>
          <w:bCs/>
          <w:kern w:val="44"/>
          <w:sz w:val="36"/>
          <w:szCs w:val="36"/>
        </w:rPr>
      </w:pPr>
      <w:bookmarkStart w:id="275" w:name="_Toc131005137"/>
      <w:bookmarkStart w:id="276" w:name="_Toc86257472"/>
      <w:bookmarkStart w:id="277" w:name="_Toc76497702"/>
      <w:bookmarkStart w:id="278" w:name="_Toc78481245"/>
      <w:r>
        <w:rPr>
          <w:rFonts w:hint="eastAsia" w:ascii="黑体" w:hAnsi="黑体" w:eastAsia="黑体"/>
          <w:b/>
          <w:bCs/>
          <w:kern w:val="44"/>
          <w:sz w:val="36"/>
          <w:szCs w:val="36"/>
        </w:rPr>
        <w:t>附 表</w:t>
      </w:r>
      <w:bookmarkEnd w:id="275"/>
    </w:p>
    <w:p w14:paraId="400BDB25">
      <w:pPr>
        <w:pStyle w:val="3"/>
        <w:spacing w:before="190" w:beforeLines="50" w:after="190" w:afterLines="50" w:line="360" w:lineRule="auto"/>
        <w:ind w:firstLine="0" w:firstLineChars="0"/>
        <w:rPr>
          <w:rFonts w:ascii="黑体" w:hAnsi="黑体" w:eastAsia="黑体"/>
          <w:sz w:val="30"/>
          <w:szCs w:val="30"/>
        </w:rPr>
      </w:pPr>
      <w:bookmarkStart w:id="279" w:name="_Toc131005138"/>
      <w:r>
        <w:rPr>
          <w:rFonts w:hint="eastAsia" w:ascii="黑体" w:hAnsi="黑体" w:eastAsia="黑体"/>
          <w:sz w:val="30"/>
          <w:szCs w:val="30"/>
        </w:rPr>
        <w:t>附表</w:t>
      </w:r>
      <w:bookmarkEnd w:id="276"/>
      <w:r>
        <w:rPr>
          <w:rFonts w:hint="eastAsia" w:ascii="黑体" w:hAnsi="黑体" w:eastAsia="黑体"/>
          <w:sz w:val="30"/>
          <w:szCs w:val="30"/>
        </w:rPr>
        <w:t>1：规划指标一览表</w:t>
      </w:r>
      <w:bookmarkEnd w:id="279"/>
    </w:p>
    <w:tbl>
      <w:tblPr>
        <w:tblStyle w:val="21"/>
        <w:tblW w:w="0" w:type="auto"/>
        <w:jc w:val="center"/>
        <w:tblLayout w:type="fixed"/>
        <w:tblCellMar>
          <w:top w:w="0" w:type="dxa"/>
          <w:left w:w="108" w:type="dxa"/>
          <w:bottom w:w="0" w:type="dxa"/>
          <w:right w:w="108" w:type="dxa"/>
        </w:tblCellMar>
      </w:tblPr>
      <w:tblGrid>
        <w:gridCol w:w="1271"/>
        <w:gridCol w:w="5528"/>
        <w:gridCol w:w="1418"/>
        <w:gridCol w:w="1843"/>
        <w:gridCol w:w="1842"/>
        <w:gridCol w:w="1326"/>
      </w:tblGrid>
      <w:tr w14:paraId="2DD89F84">
        <w:tblPrEx>
          <w:tblCellMar>
            <w:top w:w="0" w:type="dxa"/>
            <w:left w:w="108" w:type="dxa"/>
            <w:bottom w:w="0" w:type="dxa"/>
            <w:right w:w="108" w:type="dxa"/>
          </w:tblCellMar>
        </w:tblPrEx>
        <w:trPr>
          <w:trHeight w:val="567" w:hRule="atLeast"/>
          <w:jc w:val="center"/>
        </w:trPr>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711B1ACC">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生态质量类型</w:t>
            </w:r>
          </w:p>
        </w:tc>
        <w:tc>
          <w:tcPr>
            <w:tcW w:w="5528" w:type="dxa"/>
            <w:tcBorders>
              <w:top w:val="single" w:color="auto" w:sz="4" w:space="0"/>
              <w:left w:val="nil"/>
              <w:bottom w:val="single" w:color="auto" w:sz="4" w:space="0"/>
              <w:right w:val="single" w:color="auto" w:sz="4" w:space="0"/>
            </w:tcBorders>
            <w:shd w:val="clear" w:color="auto" w:fill="auto"/>
            <w:noWrap/>
            <w:vAlign w:val="center"/>
          </w:tcPr>
          <w:p w14:paraId="258550E8">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指标</w:t>
            </w:r>
          </w:p>
        </w:tc>
        <w:tc>
          <w:tcPr>
            <w:tcW w:w="1418" w:type="dxa"/>
            <w:tcBorders>
              <w:top w:val="single" w:color="auto" w:sz="4" w:space="0"/>
              <w:left w:val="nil"/>
              <w:bottom w:val="single" w:color="auto" w:sz="4" w:space="0"/>
              <w:right w:val="single" w:color="auto" w:sz="4" w:space="0"/>
            </w:tcBorders>
            <w:shd w:val="clear" w:color="auto" w:fill="auto"/>
            <w:vAlign w:val="center"/>
          </w:tcPr>
          <w:p w14:paraId="10899FBA">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2020年基期值</w:t>
            </w:r>
          </w:p>
        </w:tc>
        <w:tc>
          <w:tcPr>
            <w:tcW w:w="1843" w:type="dxa"/>
            <w:tcBorders>
              <w:top w:val="single" w:color="auto" w:sz="4" w:space="0"/>
              <w:left w:val="nil"/>
              <w:bottom w:val="single" w:color="auto" w:sz="4" w:space="0"/>
              <w:right w:val="single" w:color="auto" w:sz="4" w:space="0"/>
            </w:tcBorders>
            <w:shd w:val="clear" w:color="auto" w:fill="auto"/>
            <w:vAlign w:val="center"/>
          </w:tcPr>
          <w:p w14:paraId="37C98B06">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2025年目标值</w:t>
            </w:r>
          </w:p>
        </w:tc>
        <w:tc>
          <w:tcPr>
            <w:tcW w:w="1842" w:type="dxa"/>
            <w:tcBorders>
              <w:top w:val="single" w:color="auto" w:sz="4" w:space="0"/>
              <w:left w:val="nil"/>
              <w:bottom w:val="single" w:color="auto" w:sz="4" w:space="0"/>
              <w:right w:val="single" w:color="auto" w:sz="4" w:space="0"/>
            </w:tcBorders>
            <w:shd w:val="clear" w:color="auto" w:fill="auto"/>
            <w:vAlign w:val="center"/>
          </w:tcPr>
          <w:p w14:paraId="7B9C97DC">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2035年目标值</w:t>
            </w:r>
          </w:p>
        </w:tc>
        <w:tc>
          <w:tcPr>
            <w:tcW w:w="1326" w:type="dxa"/>
            <w:tcBorders>
              <w:top w:val="single" w:color="auto" w:sz="4" w:space="0"/>
              <w:left w:val="nil"/>
              <w:bottom w:val="single" w:color="auto" w:sz="4" w:space="0"/>
              <w:right w:val="single" w:color="auto" w:sz="4" w:space="0"/>
            </w:tcBorders>
            <w:shd w:val="clear" w:color="auto" w:fill="auto"/>
            <w:noWrap/>
            <w:vAlign w:val="center"/>
          </w:tcPr>
          <w:p w14:paraId="14943E74">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属性</w:t>
            </w:r>
          </w:p>
        </w:tc>
      </w:tr>
      <w:tr w14:paraId="33D81E6B">
        <w:tblPrEx>
          <w:tblCellMar>
            <w:top w:w="0" w:type="dxa"/>
            <w:left w:w="108" w:type="dxa"/>
            <w:bottom w:w="0" w:type="dxa"/>
            <w:right w:w="108" w:type="dxa"/>
          </w:tblCellMar>
        </w:tblPrEx>
        <w:trPr>
          <w:trHeight w:val="567" w:hRule="atLeast"/>
          <w:jc w:val="center"/>
        </w:trPr>
        <w:tc>
          <w:tcPr>
            <w:tcW w:w="1271" w:type="dxa"/>
            <w:vMerge w:val="restart"/>
            <w:tcBorders>
              <w:top w:val="nil"/>
              <w:left w:val="single" w:color="auto" w:sz="4" w:space="0"/>
              <w:bottom w:val="nil"/>
              <w:right w:val="single" w:color="auto" w:sz="4" w:space="0"/>
            </w:tcBorders>
            <w:shd w:val="clear" w:color="auto" w:fill="auto"/>
            <w:vAlign w:val="center"/>
          </w:tcPr>
          <w:p w14:paraId="0DC9BA34">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自然生态质量</w:t>
            </w:r>
          </w:p>
        </w:tc>
        <w:tc>
          <w:tcPr>
            <w:tcW w:w="5528" w:type="dxa"/>
            <w:tcBorders>
              <w:top w:val="nil"/>
              <w:left w:val="nil"/>
              <w:bottom w:val="single" w:color="auto" w:sz="4" w:space="0"/>
              <w:right w:val="single" w:color="auto" w:sz="4" w:space="0"/>
            </w:tcBorders>
            <w:shd w:val="clear" w:color="auto" w:fill="auto"/>
            <w:noWrap/>
            <w:vAlign w:val="center"/>
          </w:tcPr>
          <w:p w14:paraId="5AD4B18C">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森林覆盖率（%）</w:t>
            </w:r>
          </w:p>
        </w:tc>
        <w:tc>
          <w:tcPr>
            <w:tcW w:w="1418" w:type="dxa"/>
            <w:tcBorders>
              <w:top w:val="nil"/>
              <w:left w:val="nil"/>
              <w:bottom w:val="single" w:color="auto" w:sz="4" w:space="0"/>
              <w:right w:val="single" w:color="auto" w:sz="4" w:space="0"/>
            </w:tcBorders>
            <w:shd w:val="clear" w:color="auto" w:fill="auto"/>
            <w:noWrap/>
            <w:vAlign w:val="center"/>
          </w:tcPr>
          <w:p w14:paraId="5553E041">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10.76</w:t>
            </w:r>
          </w:p>
        </w:tc>
        <w:tc>
          <w:tcPr>
            <w:tcW w:w="1843" w:type="dxa"/>
            <w:tcBorders>
              <w:top w:val="nil"/>
              <w:left w:val="nil"/>
              <w:bottom w:val="single" w:color="auto" w:sz="4" w:space="0"/>
              <w:right w:val="single" w:color="auto" w:sz="4" w:space="0"/>
            </w:tcBorders>
            <w:shd w:val="clear" w:color="auto" w:fill="auto"/>
            <w:noWrap/>
            <w:vAlign w:val="center"/>
          </w:tcPr>
          <w:p w14:paraId="312209D1">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842" w:type="dxa"/>
            <w:tcBorders>
              <w:top w:val="nil"/>
              <w:left w:val="nil"/>
              <w:bottom w:val="single" w:color="auto" w:sz="4" w:space="0"/>
              <w:right w:val="single" w:color="auto" w:sz="4" w:space="0"/>
            </w:tcBorders>
            <w:shd w:val="clear" w:color="auto" w:fill="auto"/>
            <w:noWrap/>
            <w:vAlign w:val="center"/>
          </w:tcPr>
          <w:p w14:paraId="615883D7">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326" w:type="dxa"/>
            <w:tcBorders>
              <w:top w:val="nil"/>
              <w:left w:val="nil"/>
              <w:bottom w:val="single" w:color="auto" w:sz="4" w:space="0"/>
              <w:right w:val="single" w:color="auto" w:sz="4" w:space="0"/>
            </w:tcBorders>
            <w:shd w:val="clear" w:color="auto" w:fill="auto"/>
            <w:noWrap/>
            <w:vAlign w:val="center"/>
          </w:tcPr>
          <w:p w14:paraId="49736787">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282FF56E">
        <w:tblPrEx>
          <w:tblCellMar>
            <w:top w:w="0" w:type="dxa"/>
            <w:left w:w="108" w:type="dxa"/>
            <w:bottom w:w="0" w:type="dxa"/>
            <w:right w:w="108" w:type="dxa"/>
          </w:tblCellMar>
        </w:tblPrEx>
        <w:trPr>
          <w:trHeight w:val="567" w:hRule="atLeast"/>
          <w:jc w:val="center"/>
        </w:trPr>
        <w:tc>
          <w:tcPr>
            <w:tcW w:w="1271" w:type="dxa"/>
            <w:vMerge w:val="continue"/>
            <w:tcBorders>
              <w:top w:val="nil"/>
              <w:left w:val="single" w:color="auto" w:sz="4" w:space="0"/>
              <w:bottom w:val="nil"/>
              <w:right w:val="single" w:color="auto" w:sz="4" w:space="0"/>
            </w:tcBorders>
            <w:vAlign w:val="center"/>
          </w:tcPr>
          <w:p w14:paraId="6C546166">
            <w:pPr>
              <w:widowControl/>
              <w:spacing w:before="0" w:after="0" w:line="240" w:lineRule="auto"/>
              <w:ind w:firstLine="0" w:firstLineChars="0"/>
              <w:jc w:val="left"/>
              <w:rPr>
                <w:rFonts w:hAnsi="等线" w:cs="宋体"/>
                <w:b/>
                <w:bCs/>
                <w:kern w:val="0"/>
                <w:sz w:val="24"/>
                <w:szCs w:val="24"/>
              </w:rPr>
            </w:pPr>
          </w:p>
        </w:tc>
        <w:tc>
          <w:tcPr>
            <w:tcW w:w="5528" w:type="dxa"/>
            <w:tcBorders>
              <w:top w:val="nil"/>
              <w:left w:val="nil"/>
              <w:bottom w:val="single" w:color="auto" w:sz="4" w:space="0"/>
              <w:right w:val="single" w:color="auto" w:sz="4" w:space="0"/>
            </w:tcBorders>
            <w:shd w:val="clear" w:color="auto" w:fill="auto"/>
            <w:noWrap/>
            <w:vAlign w:val="center"/>
          </w:tcPr>
          <w:p w14:paraId="706221C4">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湿地保护率（%）</w:t>
            </w:r>
          </w:p>
        </w:tc>
        <w:tc>
          <w:tcPr>
            <w:tcW w:w="1418" w:type="dxa"/>
            <w:tcBorders>
              <w:top w:val="nil"/>
              <w:left w:val="nil"/>
              <w:bottom w:val="single" w:color="auto" w:sz="4" w:space="0"/>
              <w:right w:val="single" w:color="auto" w:sz="4" w:space="0"/>
            </w:tcBorders>
            <w:shd w:val="clear" w:color="auto" w:fill="auto"/>
            <w:noWrap/>
            <w:vAlign w:val="center"/>
          </w:tcPr>
          <w:p w14:paraId="53BCEBAB">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20.71</w:t>
            </w:r>
          </w:p>
        </w:tc>
        <w:tc>
          <w:tcPr>
            <w:tcW w:w="1843" w:type="dxa"/>
            <w:tcBorders>
              <w:top w:val="nil"/>
              <w:left w:val="nil"/>
              <w:bottom w:val="single" w:color="auto" w:sz="4" w:space="0"/>
              <w:right w:val="single" w:color="auto" w:sz="4" w:space="0"/>
            </w:tcBorders>
            <w:shd w:val="clear" w:color="auto" w:fill="auto"/>
            <w:noWrap/>
            <w:vAlign w:val="center"/>
          </w:tcPr>
          <w:p w14:paraId="5F8CECEA">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842" w:type="dxa"/>
            <w:tcBorders>
              <w:top w:val="nil"/>
              <w:left w:val="nil"/>
              <w:bottom w:val="single" w:color="auto" w:sz="4" w:space="0"/>
              <w:right w:val="single" w:color="auto" w:sz="4" w:space="0"/>
            </w:tcBorders>
            <w:shd w:val="clear" w:color="auto" w:fill="auto"/>
            <w:noWrap/>
            <w:vAlign w:val="center"/>
          </w:tcPr>
          <w:p w14:paraId="217B290D">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326" w:type="dxa"/>
            <w:tcBorders>
              <w:top w:val="nil"/>
              <w:left w:val="nil"/>
              <w:bottom w:val="single" w:color="auto" w:sz="4" w:space="0"/>
              <w:right w:val="single" w:color="auto" w:sz="4" w:space="0"/>
            </w:tcBorders>
            <w:shd w:val="clear" w:color="auto" w:fill="auto"/>
            <w:noWrap/>
            <w:vAlign w:val="center"/>
          </w:tcPr>
          <w:p w14:paraId="1D2D0D06">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6E6904F4">
        <w:tblPrEx>
          <w:tblCellMar>
            <w:top w:w="0" w:type="dxa"/>
            <w:left w:w="108" w:type="dxa"/>
            <w:bottom w:w="0" w:type="dxa"/>
            <w:right w:w="108" w:type="dxa"/>
          </w:tblCellMar>
        </w:tblPrEx>
        <w:trPr>
          <w:trHeight w:val="567" w:hRule="atLeast"/>
          <w:jc w:val="center"/>
        </w:trPr>
        <w:tc>
          <w:tcPr>
            <w:tcW w:w="1271" w:type="dxa"/>
            <w:vMerge w:val="continue"/>
            <w:tcBorders>
              <w:top w:val="nil"/>
              <w:left w:val="single" w:color="auto" w:sz="4" w:space="0"/>
              <w:bottom w:val="nil"/>
              <w:right w:val="single" w:color="auto" w:sz="4" w:space="0"/>
            </w:tcBorders>
            <w:vAlign w:val="center"/>
          </w:tcPr>
          <w:p w14:paraId="475024E0">
            <w:pPr>
              <w:widowControl/>
              <w:spacing w:before="0" w:after="0" w:line="240" w:lineRule="auto"/>
              <w:ind w:firstLine="0" w:firstLineChars="0"/>
              <w:jc w:val="left"/>
              <w:rPr>
                <w:rFonts w:hAnsi="等线" w:cs="宋体"/>
                <w:b/>
                <w:bCs/>
                <w:kern w:val="0"/>
                <w:sz w:val="24"/>
                <w:szCs w:val="24"/>
              </w:rPr>
            </w:pPr>
          </w:p>
        </w:tc>
        <w:tc>
          <w:tcPr>
            <w:tcW w:w="5528" w:type="dxa"/>
            <w:tcBorders>
              <w:top w:val="nil"/>
              <w:left w:val="nil"/>
              <w:bottom w:val="single" w:color="auto" w:sz="4" w:space="0"/>
              <w:right w:val="single" w:color="auto" w:sz="4" w:space="0"/>
            </w:tcBorders>
            <w:shd w:val="clear" w:color="auto" w:fill="auto"/>
            <w:noWrap/>
            <w:vAlign w:val="center"/>
          </w:tcPr>
          <w:p w14:paraId="7BF42586">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国家、省级重点保护野生动植物物种保护率（%）</w:t>
            </w:r>
          </w:p>
        </w:tc>
        <w:tc>
          <w:tcPr>
            <w:tcW w:w="1418" w:type="dxa"/>
            <w:tcBorders>
              <w:top w:val="nil"/>
              <w:left w:val="nil"/>
              <w:bottom w:val="single" w:color="auto" w:sz="4" w:space="0"/>
              <w:right w:val="single" w:color="auto" w:sz="4" w:space="0"/>
            </w:tcBorders>
            <w:shd w:val="clear" w:color="auto" w:fill="auto"/>
            <w:noWrap/>
            <w:vAlign w:val="center"/>
          </w:tcPr>
          <w:p w14:paraId="09BDA33A">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w:t>
            </w:r>
          </w:p>
        </w:tc>
        <w:tc>
          <w:tcPr>
            <w:tcW w:w="1843" w:type="dxa"/>
            <w:tcBorders>
              <w:top w:val="nil"/>
              <w:left w:val="nil"/>
              <w:bottom w:val="single" w:color="auto" w:sz="4" w:space="0"/>
              <w:right w:val="single" w:color="auto" w:sz="4" w:space="0"/>
            </w:tcBorders>
            <w:shd w:val="clear" w:color="auto" w:fill="auto"/>
            <w:noWrap/>
            <w:vAlign w:val="center"/>
          </w:tcPr>
          <w:p w14:paraId="43EB0F6C">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85</w:t>
            </w:r>
          </w:p>
        </w:tc>
        <w:tc>
          <w:tcPr>
            <w:tcW w:w="1842" w:type="dxa"/>
            <w:tcBorders>
              <w:top w:val="nil"/>
              <w:left w:val="nil"/>
              <w:bottom w:val="single" w:color="auto" w:sz="4" w:space="0"/>
              <w:right w:val="single" w:color="auto" w:sz="4" w:space="0"/>
            </w:tcBorders>
            <w:shd w:val="clear" w:color="auto" w:fill="auto"/>
            <w:noWrap/>
            <w:vAlign w:val="center"/>
          </w:tcPr>
          <w:p w14:paraId="6775CCF4">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87</w:t>
            </w:r>
          </w:p>
        </w:tc>
        <w:tc>
          <w:tcPr>
            <w:tcW w:w="1326" w:type="dxa"/>
            <w:tcBorders>
              <w:top w:val="nil"/>
              <w:left w:val="nil"/>
              <w:bottom w:val="single" w:color="auto" w:sz="4" w:space="0"/>
              <w:right w:val="single" w:color="auto" w:sz="4" w:space="0"/>
            </w:tcBorders>
            <w:shd w:val="clear" w:color="auto" w:fill="auto"/>
            <w:noWrap/>
            <w:vAlign w:val="center"/>
          </w:tcPr>
          <w:p w14:paraId="28DB7877">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4587DECB">
        <w:tblPrEx>
          <w:tblCellMar>
            <w:top w:w="0" w:type="dxa"/>
            <w:left w:w="108" w:type="dxa"/>
            <w:bottom w:w="0" w:type="dxa"/>
            <w:right w:w="108" w:type="dxa"/>
          </w:tblCellMar>
        </w:tblPrEx>
        <w:trPr>
          <w:trHeight w:val="567" w:hRule="atLeast"/>
          <w:jc w:val="center"/>
        </w:trPr>
        <w:tc>
          <w:tcPr>
            <w:tcW w:w="1271" w:type="dxa"/>
            <w:vMerge w:val="continue"/>
            <w:tcBorders>
              <w:top w:val="nil"/>
              <w:left w:val="single" w:color="auto" w:sz="4" w:space="0"/>
              <w:bottom w:val="nil"/>
              <w:right w:val="single" w:color="auto" w:sz="4" w:space="0"/>
            </w:tcBorders>
            <w:vAlign w:val="center"/>
          </w:tcPr>
          <w:p w14:paraId="5B4094F7">
            <w:pPr>
              <w:widowControl/>
              <w:spacing w:before="0" w:after="0" w:line="240" w:lineRule="auto"/>
              <w:ind w:firstLine="0" w:firstLineChars="0"/>
              <w:jc w:val="left"/>
              <w:rPr>
                <w:rFonts w:hAnsi="等线" w:cs="宋体"/>
                <w:b/>
                <w:bCs/>
                <w:kern w:val="0"/>
                <w:sz w:val="24"/>
                <w:szCs w:val="24"/>
              </w:rPr>
            </w:pPr>
          </w:p>
        </w:tc>
        <w:tc>
          <w:tcPr>
            <w:tcW w:w="5528" w:type="dxa"/>
            <w:tcBorders>
              <w:top w:val="nil"/>
              <w:left w:val="nil"/>
              <w:bottom w:val="single" w:color="auto" w:sz="4" w:space="0"/>
              <w:right w:val="single" w:color="auto" w:sz="4" w:space="0"/>
            </w:tcBorders>
            <w:shd w:val="clear" w:color="auto" w:fill="auto"/>
            <w:noWrap/>
            <w:vAlign w:val="center"/>
          </w:tcPr>
          <w:p w14:paraId="0A7B16D5">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生态保护红线面积（平方公里）</w:t>
            </w:r>
          </w:p>
        </w:tc>
        <w:tc>
          <w:tcPr>
            <w:tcW w:w="1418" w:type="dxa"/>
            <w:tcBorders>
              <w:top w:val="nil"/>
              <w:left w:val="nil"/>
              <w:bottom w:val="single" w:color="auto" w:sz="4" w:space="0"/>
              <w:right w:val="single" w:color="auto" w:sz="4" w:space="0"/>
            </w:tcBorders>
            <w:shd w:val="clear" w:color="auto" w:fill="auto"/>
            <w:noWrap/>
            <w:vAlign w:val="center"/>
          </w:tcPr>
          <w:p w14:paraId="33EB0430">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w:t>
            </w:r>
          </w:p>
        </w:tc>
        <w:tc>
          <w:tcPr>
            <w:tcW w:w="1843" w:type="dxa"/>
            <w:tcBorders>
              <w:top w:val="nil"/>
              <w:left w:val="nil"/>
              <w:bottom w:val="single" w:color="auto" w:sz="4" w:space="0"/>
              <w:right w:val="single" w:color="auto" w:sz="4" w:space="0"/>
            </w:tcBorders>
            <w:shd w:val="clear" w:color="auto" w:fill="auto"/>
            <w:noWrap/>
            <w:vAlign w:val="center"/>
          </w:tcPr>
          <w:p w14:paraId="0B190636">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≥128.60</w:t>
            </w:r>
          </w:p>
        </w:tc>
        <w:tc>
          <w:tcPr>
            <w:tcW w:w="1842" w:type="dxa"/>
            <w:tcBorders>
              <w:top w:val="nil"/>
              <w:left w:val="nil"/>
              <w:bottom w:val="single" w:color="auto" w:sz="4" w:space="0"/>
              <w:right w:val="single" w:color="auto" w:sz="4" w:space="0"/>
            </w:tcBorders>
            <w:shd w:val="clear" w:color="auto" w:fill="auto"/>
            <w:noWrap/>
            <w:vAlign w:val="center"/>
          </w:tcPr>
          <w:p w14:paraId="07D498CE">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≥128.60</w:t>
            </w:r>
          </w:p>
        </w:tc>
        <w:tc>
          <w:tcPr>
            <w:tcW w:w="1326" w:type="dxa"/>
            <w:tcBorders>
              <w:top w:val="nil"/>
              <w:left w:val="nil"/>
              <w:bottom w:val="single" w:color="auto" w:sz="4" w:space="0"/>
              <w:right w:val="single" w:color="auto" w:sz="4" w:space="0"/>
            </w:tcBorders>
            <w:shd w:val="clear" w:color="auto" w:fill="auto"/>
            <w:noWrap/>
            <w:vAlign w:val="center"/>
          </w:tcPr>
          <w:p w14:paraId="4BE2728F">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约束性</w:t>
            </w:r>
          </w:p>
        </w:tc>
      </w:tr>
      <w:tr w14:paraId="3507937B">
        <w:tblPrEx>
          <w:tblCellMar>
            <w:top w:w="0" w:type="dxa"/>
            <w:left w:w="108" w:type="dxa"/>
            <w:bottom w:w="0" w:type="dxa"/>
            <w:right w:w="108" w:type="dxa"/>
          </w:tblCellMar>
        </w:tblPrEx>
        <w:trPr>
          <w:trHeight w:val="567" w:hRule="atLeast"/>
          <w:jc w:val="center"/>
        </w:trPr>
        <w:tc>
          <w:tcPr>
            <w:tcW w:w="1271" w:type="dxa"/>
            <w:vMerge w:val="continue"/>
            <w:tcBorders>
              <w:top w:val="nil"/>
              <w:left w:val="single" w:color="auto" w:sz="4" w:space="0"/>
              <w:bottom w:val="nil"/>
              <w:right w:val="single" w:color="auto" w:sz="4" w:space="0"/>
            </w:tcBorders>
            <w:vAlign w:val="center"/>
          </w:tcPr>
          <w:p w14:paraId="32C8EC17">
            <w:pPr>
              <w:widowControl/>
              <w:spacing w:before="0" w:after="0" w:line="240" w:lineRule="auto"/>
              <w:ind w:firstLine="0" w:firstLineChars="0"/>
              <w:jc w:val="left"/>
              <w:rPr>
                <w:rFonts w:hAnsi="等线" w:cs="宋体"/>
                <w:b/>
                <w:bCs/>
                <w:kern w:val="0"/>
                <w:sz w:val="24"/>
                <w:szCs w:val="24"/>
              </w:rPr>
            </w:pPr>
          </w:p>
        </w:tc>
        <w:tc>
          <w:tcPr>
            <w:tcW w:w="5528" w:type="dxa"/>
            <w:tcBorders>
              <w:top w:val="nil"/>
              <w:left w:val="nil"/>
              <w:bottom w:val="single" w:color="auto" w:sz="4" w:space="0"/>
              <w:right w:val="single" w:color="auto" w:sz="4" w:space="0"/>
            </w:tcBorders>
            <w:shd w:val="clear" w:color="auto" w:fill="auto"/>
            <w:noWrap/>
            <w:vAlign w:val="center"/>
          </w:tcPr>
          <w:p w14:paraId="292B1921">
            <w:pPr>
              <w:widowControl/>
              <w:spacing w:before="0" w:after="0" w:line="240" w:lineRule="auto"/>
              <w:ind w:firstLine="0" w:firstLineChars="0"/>
              <w:jc w:val="center"/>
              <w:rPr>
                <w:rFonts w:hAnsi="等线" w:cs="宋体"/>
                <w:kern w:val="0"/>
                <w:sz w:val="24"/>
                <w:szCs w:val="24"/>
              </w:rPr>
            </w:pPr>
            <w:bookmarkStart w:id="280" w:name="_Hlk140670626"/>
            <w:r>
              <w:rPr>
                <w:rFonts w:hint="eastAsia" w:hAnsi="等线" w:cs="宋体"/>
                <w:kern w:val="0"/>
                <w:sz w:val="24"/>
                <w:szCs w:val="24"/>
              </w:rPr>
              <w:t>自然保护地陆域面积占陆域国土面积比例</w:t>
            </w:r>
            <w:bookmarkEnd w:id="280"/>
            <w:r>
              <w:rPr>
                <w:rFonts w:hint="eastAsia" w:hAnsi="等线" w:cs="宋体"/>
                <w:kern w:val="0"/>
                <w:sz w:val="24"/>
                <w:szCs w:val="24"/>
              </w:rPr>
              <w:t>（%）</w:t>
            </w:r>
          </w:p>
        </w:tc>
        <w:tc>
          <w:tcPr>
            <w:tcW w:w="1418" w:type="dxa"/>
            <w:tcBorders>
              <w:top w:val="nil"/>
              <w:left w:val="nil"/>
              <w:bottom w:val="single" w:color="auto" w:sz="4" w:space="0"/>
              <w:right w:val="single" w:color="auto" w:sz="4" w:space="0"/>
            </w:tcBorders>
            <w:shd w:val="clear" w:color="auto" w:fill="auto"/>
            <w:noWrap/>
            <w:vAlign w:val="center"/>
          </w:tcPr>
          <w:p w14:paraId="1E84B81C">
            <w:pPr>
              <w:widowControl/>
              <w:spacing w:before="0" w:after="0" w:line="240" w:lineRule="auto"/>
              <w:ind w:firstLine="0" w:firstLineChars="0"/>
              <w:jc w:val="center"/>
              <w:rPr>
                <w:rFonts w:hAnsi="等线" w:cs="宋体"/>
                <w:kern w:val="0"/>
                <w:sz w:val="24"/>
                <w:szCs w:val="24"/>
              </w:rPr>
            </w:pPr>
            <w:r>
              <w:rPr>
                <w:rFonts w:hAnsi="等线" w:cs="宋体"/>
                <w:kern w:val="0"/>
                <w:sz w:val="24"/>
                <w:szCs w:val="24"/>
              </w:rPr>
              <w:t>6.61</w:t>
            </w:r>
          </w:p>
        </w:tc>
        <w:tc>
          <w:tcPr>
            <w:tcW w:w="1843" w:type="dxa"/>
            <w:tcBorders>
              <w:top w:val="nil"/>
              <w:left w:val="nil"/>
              <w:bottom w:val="single" w:color="auto" w:sz="4" w:space="0"/>
              <w:right w:val="single" w:color="auto" w:sz="4" w:space="0"/>
            </w:tcBorders>
            <w:shd w:val="clear" w:color="auto" w:fill="auto"/>
            <w:noWrap/>
            <w:vAlign w:val="center"/>
          </w:tcPr>
          <w:p w14:paraId="0B11F568">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842" w:type="dxa"/>
            <w:tcBorders>
              <w:top w:val="nil"/>
              <w:left w:val="nil"/>
              <w:bottom w:val="single" w:color="auto" w:sz="4" w:space="0"/>
              <w:right w:val="single" w:color="auto" w:sz="4" w:space="0"/>
            </w:tcBorders>
            <w:shd w:val="clear" w:color="auto" w:fill="auto"/>
            <w:noWrap/>
            <w:vAlign w:val="center"/>
          </w:tcPr>
          <w:p w14:paraId="1FC65626">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326" w:type="dxa"/>
            <w:tcBorders>
              <w:top w:val="nil"/>
              <w:left w:val="nil"/>
              <w:bottom w:val="single" w:color="auto" w:sz="4" w:space="0"/>
              <w:right w:val="single" w:color="auto" w:sz="4" w:space="0"/>
            </w:tcBorders>
            <w:shd w:val="clear" w:color="auto" w:fill="auto"/>
            <w:noWrap/>
            <w:vAlign w:val="center"/>
          </w:tcPr>
          <w:p w14:paraId="1B7DB765">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652ADD65">
        <w:tblPrEx>
          <w:tblCellMar>
            <w:top w:w="0" w:type="dxa"/>
            <w:left w:w="108" w:type="dxa"/>
            <w:bottom w:w="0" w:type="dxa"/>
            <w:right w:w="108" w:type="dxa"/>
          </w:tblCellMar>
        </w:tblPrEx>
        <w:trPr>
          <w:trHeight w:val="567" w:hRule="atLeast"/>
          <w:jc w:val="center"/>
        </w:trPr>
        <w:tc>
          <w:tcPr>
            <w:tcW w:w="1271" w:type="dxa"/>
            <w:vMerge w:val="continue"/>
            <w:tcBorders>
              <w:top w:val="nil"/>
              <w:left w:val="single" w:color="auto" w:sz="4" w:space="0"/>
              <w:bottom w:val="nil"/>
              <w:right w:val="single" w:color="auto" w:sz="4" w:space="0"/>
            </w:tcBorders>
            <w:vAlign w:val="center"/>
          </w:tcPr>
          <w:p w14:paraId="43E9B426">
            <w:pPr>
              <w:widowControl/>
              <w:spacing w:before="0" w:after="0" w:line="240" w:lineRule="auto"/>
              <w:ind w:firstLine="0" w:firstLineChars="0"/>
              <w:jc w:val="left"/>
              <w:rPr>
                <w:rFonts w:hAnsi="等线" w:cs="宋体"/>
                <w:b/>
                <w:bCs/>
                <w:kern w:val="0"/>
                <w:sz w:val="24"/>
                <w:szCs w:val="24"/>
              </w:rPr>
            </w:pPr>
          </w:p>
        </w:tc>
        <w:tc>
          <w:tcPr>
            <w:tcW w:w="5528" w:type="dxa"/>
            <w:tcBorders>
              <w:top w:val="nil"/>
              <w:left w:val="nil"/>
              <w:bottom w:val="single" w:color="auto" w:sz="4" w:space="0"/>
              <w:right w:val="single" w:color="auto" w:sz="4" w:space="0"/>
            </w:tcBorders>
            <w:shd w:val="clear" w:color="auto" w:fill="auto"/>
            <w:noWrap/>
            <w:vAlign w:val="center"/>
          </w:tcPr>
          <w:p w14:paraId="1AAABC20">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水土保持率（%）</w:t>
            </w:r>
          </w:p>
        </w:tc>
        <w:tc>
          <w:tcPr>
            <w:tcW w:w="1418" w:type="dxa"/>
            <w:tcBorders>
              <w:top w:val="nil"/>
              <w:left w:val="nil"/>
              <w:bottom w:val="single" w:color="auto" w:sz="4" w:space="0"/>
              <w:right w:val="single" w:color="auto" w:sz="4" w:space="0"/>
            </w:tcBorders>
            <w:shd w:val="clear" w:color="auto" w:fill="auto"/>
            <w:noWrap/>
            <w:vAlign w:val="center"/>
          </w:tcPr>
          <w:p w14:paraId="1AA0EC8C">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85.5</w:t>
            </w:r>
          </w:p>
        </w:tc>
        <w:tc>
          <w:tcPr>
            <w:tcW w:w="1843" w:type="dxa"/>
            <w:tcBorders>
              <w:top w:val="nil"/>
              <w:left w:val="nil"/>
              <w:bottom w:val="single" w:color="auto" w:sz="4" w:space="0"/>
              <w:right w:val="single" w:color="auto" w:sz="4" w:space="0"/>
            </w:tcBorders>
            <w:shd w:val="clear" w:color="auto" w:fill="auto"/>
            <w:noWrap/>
            <w:vAlign w:val="center"/>
          </w:tcPr>
          <w:p w14:paraId="7BEC5EBC">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≥86.5</w:t>
            </w:r>
          </w:p>
        </w:tc>
        <w:tc>
          <w:tcPr>
            <w:tcW w:w="1842" w:type="dxa"/>
            <w:tcBorders>
              <w:top w:val="nil"/>
              <w:left w:val="nil"/>
              <w:bottom w:val="single" w:color="auto" w:sz="4" w:space="0"/>
              <w:right w:val="single" w:color="auto" w:sz="4" w:space="0"/>
            </w:tcBorders>
            <w:shd w:val="clear" w:color="auto" w:fill="auto"/>
            <w:noWrap/>
            <w:vAlign w:val="center"/>
          </w:tcPr>
          <w:p w14:paraId="3DF6D7DC">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326" w:type="dxa"/>
            <w:tcBorders>
              <w:top w:val="nil"/>
              <w:left w:val="nil"/>
              <w:bottom w:val="single" w:color="auto" w:sz="4" w:space="0"/>
              <w:right w:val="single" w:color="auto" w:sz="4" w:space="0"/>
            </w:tcBorders>
            <w:shd w:val="clear" w:color="auto" w:fill="auto"/>
            <w:noWrap/>
            <w:vAlign w:val="center"/>
          </w:tcPr>
          <w:p w14:paraId="02F9A2D5">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6818784F">
        <w:tblPrEx>
          <w:tblCellMar>
            <w:top w:w="0" w:type="dxa"/>
            <w:left w:w="108" w:type="dxa"/>
            <w:bottom w:w="0" w:type="dxa"/>
            <w:right w:w="108" w:type="dxa"/>
          </w:tblCellMar>
        </w:tblPrEx>
        <w:trPr>
          <w:trHeight w:val="567" w:hRule="atLeast"/>
          <w:jc w:val="center"/>
        </w:trPr>
        <w:tc>
          <w:tcPr>
            <w:tcW w:w="1271" w:type="dxa"/>
            <w:vMerge w:val="continue"/>
            <w:tcBorders>
              <w:top w:val="nil"/>
              <w:left w:val="single" w:color="auto" w:sz="4" w:space="0"/>
              <w:bottom w:val="nil"/>
              <w:right w:val="single" w:color="auto" w:sz="4" w:space="0"/>
            </w:tcBorders>
            <w:vAlign w:val="center"/>
          </w:tcPr>
          <w:p w14:paraId="7E4142DB">
            <w:pPr>
              <w:widowControl/>
              <w:spacing w:before="0" w:after="0" w:line="240" w:lineRule="auto"/>
              <w:ind w:firstLine="0" w:firstLineChars="0"/>
              <w:jc w:val="left"/>
              <w:rPr>
                <w:rFonts w:hAnsi="等线" w:cs="宋体"/>
                <w:b/>
                <w:bCs/>
                <w:kern w:val="0"/>
                <w:sz w:val="24"/>
                <w:szCs w:val="24"/>
              </w:rPr>
            </w:pPr>
          </w:p>
        </w:tc>
        <w:tc>
          <w:tcPr>
            <w:tcW w:w="5528" w:type="dxa"/>
            <w:tcBorders>
              <w:top w:val="nil"/>
              <w:left w:val="nil"/>
              <w:bottom w:val="single" w:color="auto" w:sz="4" w:space="0"/>
              <w:right w:val="single" w:color="auto" w:sz="4" w:space="0"/>
            </w:tcBorders>
            <w:shd w:val="clear" w:color="auto" w:fill="auto"/>
            <w:noWrap/>
            <w:vAlign w:val="center"/>
          </w:tcPr>
          <w:p w14:paraId="64E6C76D">
            <w:pPr>
              <w:widowControl/>
              <w:spacing w:before="0" w:after="0" w:line="240" w:lineRule="auto"/>
              <w:ind w:firstLine="0" w:firstLineChars="0"/>
              <w:jc w:val="center"/>
              <w:rPr>
                <w:rFonts w:hAnsi="等线" w:cs="宋体"/>
                <w:kern w:val="0"/>
                <w:sz w:val="24"/>
                <w:szCs w:val="24"/>
              </w:rPr>
            </w:pPr>
            <w:bookmarkStart w:id="281" w:name="_Hlk140670633"/>
            <w:bookmarkStart w:id="282" w:name="_Hlk140670770"/>
            <w:r>
              <w:rPr>
                <w:rFonts w:hint="eastAsia" w:hAnsi="等线" w:cs="宋体"/>
                <w:kern w:val="0"/>
                <w:sz w:val="24"/>
                <w:szCs w:val="24"/>
              </w:rPr>
              <w:t>水域空间保有量</w:t>
            </w:r>
            <w:bookmarkEnd w:id="281"/>
            <w:r>
              <w:rPr>
                <w:rFonts w:hint="eastAsia" w:hAnsi="等线" w:cs="宋体"/>
                <w:kern w:val="0"/>
                <w:sz w:val="24"/>
                <w:szCs w:val="24"/>
              </w:rPr>
              <w:t>（万亩）</w:t>
            </w:r>
            <w:bookmarkEnd w:id="282"/>
          </w:p>
        </w:tc>
        <w:tc>
          <w:tcPr>
            <w:tcW w:w="1418" w:type="dxa"/>
            <w:tcBorders>
              <w:top w:val="nil"/>
              <w:left w:val="nil"/>
              <w:bottom w:val="single" w:color="auto" w:sz="4" w:space="0"/>
              <w:right w:val="single" w:color="auto" w:sz="4" w:space="0"/>
            </w:tcBorders>
            <w:shd w:val="clear" w:color="auto" w:fill="auto"/>
            <w:noWrap/>
            <w:vAlign w:val="center"/>
          </w:tcPr>
          <w:p w14:paraId="162165FC">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5</w:t>
            </w:r>
            <w:r>
              <w:rPr>
                <w:rFonts w:hAnsi="等线" w:cs="宋体"/>
                <w:kern w:val="0"/>
                <w:sz w:val="24"/>
                <w:szCs w:val="24"/>
              </w:rPr>
              <w:t>9.09</w:t>
            </w:r>
          </w:p>
        </w:tc>
        <w:tc>
          <w:tcPr>
            <w:tcW w:w="1843" w:type="dxa"/>
            <w:tcBorders>
              <w:top w:val="nil"/>
              <w:left w:val="nil"/>
              <w:bottom w:val="single" w:color="auto" w:sz="4" w:space="0"/>
              <w:right w:val="single" w:color="auto" w:sz="4" w:space="0"/>
            </w:tcBorders>
            <w:shd w:val="clear" w:color="auto" w:fill="auto"/>
            <w:noWrap/>
            <w:vAlign w:val="center"/>
          </w:tcPr>
          <w:p w14:paraId="4467E7CB">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842" w:type="dxa"/>
            <w:tcBorders>
              <w:top w:val="nil"/>
              <w:left w:val="nil"/>
              <w:bottom w:val="single" w:color="auto" w:sz="4" w:space="0"/>
              <w:right w:val="single" w:color="auto" w:sz="4" w:space="0"/>
            </w:tcBorders>
            <w:shd w:val="clear" w:color="auto" w:fill="auto"/>
            <w:noWrap/>
            <w:vAlign w:val="center"/>
          </w:tcPr>
          <w:p w14:paraId="4BD00FE3">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326" w:type="dxa"/>
            <w:tcBorders>
              <w:top w:val="nil"/>
              <w:left w:val="nil"/>
              <w:bottom w:val="single" w:color="auto" w:sz="4" w:space="0"/>
              <w:right w:val="single" w:color="auto" w:sz="4" w:space="0"/>
            </w:tcBorders>
            <w:shd w:val="clear" w:color="auto" w:fill="auto"/>
            <w:noWrap/>
            <w:vAlign w:val="center"/>
          </w:tcPr>
          <w:p w14:paraId="2B9EF13F">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63BF52BC">
        <w:tblPrEx>
          <w:tblCellMar>
            <w:top w:w="0" w:type="dxa"/>
            <w:left w:w="108" w:type="dxa"/>
            <w:bottom w:w="0" w:type="dxa"/>
            <w:right w:w="108" w:type="dxa"/>
          </w:tblCellMar>
        </w:tblPrEx>
        <w:trPr>
          <w:trHeight w:val="567" w:hRule="atLeast"/>
          <w:jc w:val="center"/>
        </w:trPr>
        <w:tc>
          <w:tcPr>
            <w:tcW w:w="1271" w:type="dxa"/>
            <w:vMerge w:val="continue"/>
            <w:tcBorders>
              <w:top w:val="nil"/>
              <w:left w:val="single" w:color="auto" w:sz="4" w:space="0"/>
              <w:bottom w:val="nil"/>
              <w:right w:val="single" w:color="auto" w:sz="4" w:space="0"/>
            </w:tcBorders>
            <w:vAlign w:val="center"/>
          </w:tcPr>
          <w:p w14:paraId="2348514C">
            <w:pPr>
              <w:widowControl/>
              <w:spacing w:before="0" w:after="0" w:line="240" w:lineRule="auto"/>
              <w:ind w:firstLine="0" w:firstLineChars="0"/>
              <w:jc w:val="left"/>
              <w:rPr>
                <w:rFonts w:hAnsi="等线" w:cs="宋体"/>
                <w:b/>
                <w:bCs/>
                <w:kern w:val="0"/>
                <w:sz w:val="24"/>
                <w:szCs w:val="24"/>
              </w:rPr>
            </w:pPr>
          </w:p>
        </w:tc>
        <w:tc>
          <w:tcPr>
            <w:tcW w:w="5528" w:type="dxa"/>
            <w:tcBorders>
              <w:top w:val="nil"/>
              <w:left w:val="nil"/>
              <w:bottom w:val="single" w:color="auto" w:sz="4" w:space="0"/>
              <w:right w:val="single" w:color="auto" w:sz="4" w:space="0"/>
            </w:tcBorders>
            <w:shd w:val="clear" w:color="auto" w:fill="auto"/>
            <w:noWrap/>
            <w:vAlign w:val="center"/>
          </w:tcPr>
          <w:p w14:paraId="1B2A072F">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地表水达到或好于III类水体比例（%）</w:t>
            </w:r>
          </w:p>
        </w:tc>
        <w:tc>
          <w:tcPr>
            <w:tcW w:w="1418" w:type="dxa"/>
            <w:tcBorders>
              <w:top w:val="nil"/>
              <w:left w:val="nil"/>
              <w:bottom w:val="single" w:color="auto" w:sz="4" w:space="0"/>
              <w:right w:val="single" w:color="auto" w:sz="4" w:space="0"/>
            </w:tcBorders>
            <w:shd w:val="clear" w:color="auto" w:fill="auto"/>
            <w:noWrap/>
            <w:vAlign w:val="center"/>
          </w:tcPr>
          <w:p w14:paraId="4624528F">
            <w:pPr>
              <w:widowControl/>
              <w:spacing w:before="0" w:after="0" w:line="240" w:lineRule="auto"/>
              <w:ind w:firstLine="0" w:firstLineChars="0"/>
              <w:jc w:val="center"/>
              <w:rPr>
                <w:rFonts w:hAnsi="等线" w:cs="宋体"/>
                <w:kern w:val="0"/>
                <w:sz w:val="24"/>
                <w:szCs w:val="24"/>
              </w:rPr>
            </w:pPr>
            <w:r>
              <w:rPr>
                <w:rFonts w:hAnsi="等线" w:cs="宋体"/>
                <w:kern w:val="0"/>
                <w:sz w:val="24"/>
                <w:szCs w:val="24"/>
              </w:rPr>
              <w:t>91.7</w:t>
            </w:r>
          </w:p>
        </w:tc>
        <w:tc>
          <w:tcPr>
            <w:tcW w:w="1843" w:type="dxa"/>
            <w:tcBorders>
              <w:top w:val="nil"/>
              <w:left w:val="nil"/>
              <w:bottom w:val="single" w:color="auto" w:sz="4" w:space="0"/>
              <w:right w:val="single" w:color="auto" w:sz="4" w:space="0"/>
            </w:tcBorders>
            <w:shd w:val="clear" w:color="auto" w:fill="auto"/>
            <w:noWrap/>
            <w:vAlign w:val="center"/>
          </w:tcPr>
          <w:p w14:paraId="111523DA">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842" w:type="dxa"/>
            <w:tcBorders>
              <w:top w:val="nil"/>
              <w:left w:val="nil"/>
              <w:bottom w:val="single" w:color="auto" w:sz="4" w:space="0"/>
              <w:right w:val="single" w:color="auto" w:sz="4" w:space="0"/>
            </w:tcBorders>
            <w:shd w:val="clear" w:color="auto" w:fill="auto"/>
            <w:noWrap/>
            <w:vAlign w:val="center"/>
          </w:tcPr>
          <w:p w14:paraId="1CFC62AD">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326" w:type="dxa"/>
            <w:tcBorders>
              <w:top w:val="nil"/>
              <w:left w:val="nil"/>
              <w:bottom w:val="single" w:color="auto" w:sz="4" w:space="0"/>
              <w:right w:val="single" w:color="auto" w:sz="4" w:space="0"/>
            </w:tcBorders>
            <w:shd w:val="clear" w:color="auto" w:fill="auto"/>
            <w:noWrap/>
            <w:vAlign w:val="center"/>
          </w:tcPr>
          <w:p w14:paraId="09CCB36B">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约束性</w:t>
            </w:r>
          </w:p>
        </w:tc>
      </w:tr>
      <w:tr w14:paraId="0CB5E56D">
        <w:tblPrEx>
          <w:tblCellMar>
            <w:top w:w="0" w:type="dxa"/>
            <w:left w:w="108" w:type="dxa"/>
            <w:bottom w:w="0" w:type="dxa"/>
            <w:right w:w="108" w:type="dxa"/>
          </w:tblCellMar>
        </w:tblPrEx>
        <w:trPr>
          <w:trHeight w:val="567" w:hRule="atLeast"/>
          <w:jc w:val="center"/>
        </w:trPr>
        <w:tc>
          <w:tcPr>
            <w:tcW w:w="12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0455AA">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城市环境质量</w:t>
            </w:r>
          </w:p>
        </w:tc>
        <w:tc>
          <w:tcPr>
            <w:tcW w:w="5528" w:type="dxa"/>
            <w:tcBorders>
              <w:top w:val="nil"/>
              <w:left w:val="nil"/>
              <w:bottom w:val="single" w:color="auto" w:sz="4" w:space="0"/>
              <w:right w:val="single" w:color="auto" w:sz="4" w:space="0"/>
            </w:tcBorders>
            <w:shd w:val="clear" w:color="auto" w:fill="auto"/>
            <w:noWrap/>
            <w:vAlign w:val="center"/>
          </w:tcPr>
          <w:p w14:paraId="0BF7B9B4">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城市内河内湖水质（类）</w:t>
            </w:r>
          </w:p>
        </w:tc>
        <w:tc>
          <w:tcPr>
            <w:tcW w:w="1418" w:type="dxa"/>
            <w:tcBorders>
              <w:top w:val="nil"/>
              <w:left w:val="nil"/>
              <w:bottom w:val="single" w:color="auto" w:sz="4" w:space="0"/>
              <w:right w:val="single" w:color="auto" w:sz="4" w:space="0"/>
            </w:tcBorders>
            <w:shd w:val="clear" w:color="auto" w:fill="auto"/>
            <w:noWrap/>
            <w:vAlign w:val="center"/>
          </w:tcPr>
          <w:p w14:paraId="3F00488C">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III</w:t>
            </w:r>
          </w:p>
        </w:tc>
        <w:tc>
          <w:tcPr>
            <w:tcW w:w="1843" w:type="dxa"/>
            <w:tcBorders>
              <w:top w:val="nil"/>
              <w:left w:val="nil"/>
              <w:bottom w:val="single" w:color="auto" w:sz="4" w:space="0"/>
              <w:right w:val="single" w:color="auto" w:sz="4" w:space="0"/>
            </w:tcBorders>
            <w:shd w:val="clear" w:color="auto" w:fill="auto"/>
            <w:noWrap/>
            <w:vAlign w:val="center"/>
          </w:tcPr>
          <w:p w14:paraId="6036595C">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III</w:t>
            </w:r>
          </w:p>
        </w:tc>
        <w:tc>
          <w:tcPr>
            <w:tcW w:w="1842" w:type="dxa"/>
            <w:tcBorders>
              <w:top w:val="nil"/>
              <w:left w:val="nil"/>
              <w:bottom w:val="single" w:color="auto" w:sz="4" w:space="0"/>
              <w:right w:val="single" w:color="auto" w:sz="4" w:space="0"/>
            </w:tcBorders>
            <w:shd w:val="clear" w:color="auto" w:fill="auto"/>
            <w:noWrap/>
            <w:vAlign w:val="center"/>
          </w:tcPr>
          <w:p w14:paraId="6081752E">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III</w:t>
            </w:r>
          </w:p>
        </w:tc>
        <w:tc>
          <w:tcPr>
            <w:tcW w:w="1326" w:type="dxa"/>
            <w:tcBorders>
              <w:top w:val="nil"/>
              <w:left w:val="nil"/>
              <w:bottom w:val="single" w:color="auto" w:sz="4" w:space="0"/>
              <w:right w:val="single" w:color="auto" w:sz="4" w:space="0"/>
            </w:tcBorders>
            <w:shd w:val="clear" w:color="auto" w:fill="auto"/>
            <w:noWrap/>
            <w:vAlign w:val="center"/>
          </w:tcPr>
          <w:p w14:paraId="7477DED3">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5E374FB7">
        <w:tblPrEx>
          <w:tblCellMar>
            <w:top w:w="0" w:type="dxa"/>
            <w:left w:w="108" w:type="dxa"/>
            <w:bottom w:w="0" w:type="dxa"/>
            <w:right w:w="108" w:type="dxa"/>
          </w:tblCellMar>
        </w:tblPrEx>
        <w:trPr>
          <w:trHeight w:val="567" w:hRule="atLeast"/>
          <w:jc w:val="center"/>
        </w:trPr>
        <w:tc>
          <w:tcPr>
            <w:tcW w:w="1271" w:type="dxa"/>
            <w:vMerge w:val="continue"/>
            <w:tcBorders>
              <w:top w:val="single" w:color="auto" w:sz="4" w:space="0"/>
              <w:left w:val="single" w:color="auto" w:sz="4" w:space="0"/>
              <w:bottom w:val="single" w:color="auto" w:sz="4" w:space="0"/>
              <w:right w:val="single" w:color="auto" w:sz="4" w:space="0"/>
            </w:tcBorders>
            <w:vAlign w:val="center"/>
          </w:tcPr>
          <w:p w14:paraId="3A79C5FF">
            <w:pPr>
              <w:widowControl/>
              <w:spacing w:before="0" w:after="0" w:line="240" w:lineRule="auto"/>
              <w:ind w:firstLine="0" w:firstLineChars="0"/>
              <w:jc w:val="left"/>
              <w:rPr>
                <w:rFonts w:hAnsi="等线" w:cs="宋体"/>
                <w:b/>
                <w:bCs/>
                <w:kern w:val="0"/>
                <w:sz w:val="24"/>
                <w:szCs w:val="24"/>
              </w:rPr>
            </w:pPr>
          </w:p>
        </w:tc>
        <w:tc>
          <w:tcPr>
            <w:tcW w:w="5528" w:type="dxa"/>
            <w:tcBorders>
              <w:top w:val="nil"/>
              <w:left w:val="nil"/>
              <w:bottom w:val="single" w:color="auto" w:sz="4" w:space="0"/>
              <w:right w:val="single" w:color="auto" w:sz="4" w:space="0"/>
            </w:tcBorders>
            <w:shd w:val="clear" w:color="auto" w:fill="auto"/>
            <w:noWrap/>
            <w:vAlign w:val="center"/>
          </w:tcPr>
          <w:p w14:paraId="51742CA2">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中心城区人均公园绿地面积（平方米）</w:t>
            </w:r>
          </w:p>
        </w:tc>
        <w:tc>
          <w:tcPr>
            <w:tcW w:w="1418" w:type="dxa"/>
            <w:tcBorders>
              <w:top w:val="nil"/>
              <w:left w:val="nil"/>
              <w:bottom w:val="single" w:color="auto" w:sz="4" w:space="0"/>
              <w:right w:val="single" w:color="auto" w:sz="4" w:space="0"/>
            </w:tcBorders>
            <w:shd w:val="clear" w:color="auto" w:fill="auto"/>
            <w:noWrap/>
            <w:vAlign w:val="center"/>
          </w:tcPr>
          <w:p w14:paraId="5D889B85">
            <w:pPr>
              <w:widowControl/>
              <w:spacing w:before="0" w:after="0" w:line="240" w:lineRule="auto"/>
              <w:ind w:firstLine="0" w:firstLineChars="0"/>
              <w:jc w:val="center"/>
              <w:rPr>
                <w:rFonts w:hAnsi="等线" w:cs="宋体"/>
                <w:kern w:val="0"/>
                <w:sz w:val="24"/>
                <w:szCs w:val="24"/>
              </w:rPr>
            </w:pPr>
            <w:r>
              <w:rPr>
                <w:rFonts w:hint="eastAsia"/>
                <w:sz w:val="24"/>
                <w:szCs w:val="24"/>
              </w:rPr>
              <w:t>7.71</w:t>
            </w:r>
          </w:p>
        </w:tc>
        <w:tc>
          <w:tcPr>
            <w:tcW w:w="1843" w:type="dxa"/>
            <w:tcBorders>
              <w:top w:val="nil"/>
              <w:left w:val="nil"/>
              <w:bottom w:val="single" w:color="auto" w:sz="4" w:space="0"/>
              <w:right w:val="single" w:color="auto" w:sz="4" w:space="0"/>
            </w:tcBorders>
            <w:shd w:val="clear" w:color="auto" w:fill="auto"/>
            <w:noWrap/>
            <w:vAlign w:val="center"/>
          </w:tcPr>
          <w:p w14:paraId="2F59D082">
            <w:pPr>
              <w:widowControl/>
              <w:spacing w:before="0" w:after="0" w:line="240" w:lineRule="auto"/>
              <w:ind w:firstLine="0" w:firstLineChars="0"/>
              <w:jc w:val="center"/>
              <w:rPr>
                <w:rFonts w:hAnsi="等线" w:cs="宋体"/>
                <w:kern w:val="0"/>
                <w:sz w:val="24"/>
                <w:szCs w:val="24"/>
              </w:rPr>
            </w:pPr>
            <w:r>
              <w:rPr>
                <w:rFonts w:hint="eastAsia"/>
                <w:sz w:val="24"/>
                <w:szCs w:val="24"/>
                <w:lang w:bidi="ar"/>
              </w:rPr>
              <w:t>7.85</w:t>
            </w:r>
          </w:p>
        </w:tc>
        <w:tc>
          <w:tcPr>
            <w:tcW w:w="1842" w:type="dxa"/>
            <w:tcBorders>
              <w:top w:val="nil"/>
              <w:left w:val="nil"/>
              <w:bottom w:val="single" w:color="auto" w:sz="4" w:space="0"/>
              <w:right w:val="single" w:color="auto" w:sz="4" w:space="0"/>
            </w:tcBorders>
            <w:shd w:val="clear" w:color="auto" w:fill="auto"/>
            <w:noWrap/>
            <w:vAlign w:val="center"/>
          </w:tcPr>
          <w:p w14:paraId="54EEFCD0">
            <w:pPr>
              <w:widowControl/>
              <w:spacing w:before="0" w:after="0" w:line="240" w:lineRule="auto"/>
              <w:ind w:firstLine="0" w:firstLineChars="0"/>
              <w:jc w:val="center"/>
              <w:rPr>
                <w:rFonts w:hAnsi="等线" w:cs="宋体"/>
                <w:kern w:val="0"/>
                <w:sz w:val="24"/>
                <w:szCs w:val="24"/>
              </w:rPr>
            </w:pPr>
            <w:r>
              <w:rPr>
                <w:rFonts w:hint="eastAsia"/>
                <w:sz w:val="24"/>
                <w:szCs w:val="24"/>
              </w:rPr>
              <w:t>8</w:t>
            </w:r>
          </w:p>
        </w:tc>
        <w:tc>
          <w:tcPr>
            <w:tcW w:w="1326" w:type="dxa"/>
            <w:tcBorders>
              <w:top w:val="nil"/>
              <w:left w:val="nil"/>
              <w:bottom w:val="single" w:color="auto" w:sz="4" w:space="0"/>
              <w:right w:val="single" w:color="auto" w:sz="4" w:space="0"/>
            </w:tcBorders>
            <w:shd w:val="clear" w:color="auto" w:fill="auto"/>
            <w:noWrap/>
            <w:vAlign w:val="center"/>
          </w:tcPr>
          <w:p w14:paraId="6AEDEBFE">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6AD3EBCB">
        <w:tblPrEx>
          <w:tblCellMar>
            <w:top w:w="0" w:type="dxa"/>
            <w:left w:w="108" w:type="dxa"/>
            <w:bottom w:w="0" w:type="dxa"/>
            <w:right w:w="108" w:type="dxa"/>
          </w:tblCellMar>
        </w:tblPrEx>
        <w:trPr>
          <w:trHeight w:val="567" w:hRule="atLeast"/>
          <w:jc w:val="center"/>
        </w:trPr>
        <w:tc>
          <w:tcPr>
            <w:tcW w:w="1271" w:type="dxa"/>
            <w:vMerge w:val="continue"/>
            <w:tcBorders>
              <w:top w:val="single" w:color="auto" w:sz="4" w:space="0"/>
              <w:left w:val="single" w:color="auto" w:sz="4" w:space="0"/>
              <w:bottom w:val="single" w:color="auto" w:sz="4" w:space="0"/>
              <w:right w:val="single" w:color="auto" w:sz="4" w:space="0"/>
            </w:tcBorders>
            <w:vAlign w:val="center"/>
          </w:tcPr>
          <w:p w14:paraId="48322FC7">
            <w:pPr>
              <w:widowControl/>
              <w:spacing w:before="0" w:after="0" w:line="240" w:lineRule="auto"/>
              <w:ind w:firstLine="0" w:firstLineChars="0"/>
              <w:jc w:val="left"/>
              <w:rPr>
                <w:rFonts w:hAnsi="等线" w:cs="宋体"/>
                <w:b/>
                <w:bCs/>
                <w:kern w:val="0"/>
                <w:sz w:val="24"/>
                <w:szCs w:val="24"/>
              </w:rPr>
            </w:pPr>
          </w:p>
        </w:tc>
        <w:tc>
          <w:tcPr>
            <w:tcW w:w="5528" w:type="dxa"/>
            <w:tcBorders>
              <w:top w:val="nil"/>
              <w:left w:val="nil"/>
              <w:bottom w:val="single" w:color="auto" w:sz="4" w:space="0"/>
              <w:right w:val="single" w:color="auto" w:sz="4" w:space="0"/>
            </w:tcBorders>
            <w:shd w:val="clear" w:color="auto" w:fill="auto"/>
            <w:noWrap/>
            <w:vAlign w:val="center"/>
          </w:tcPr>
          <w:p w14:paraId="5E590A54">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中心城区公园绿地和开敞空间5分钟覆盖率（%）</w:t>
            </w:r>
          </w:p>
        </w:tc>
        <w:tc>
          <w:tcPr>
            <w:tcW w:w="1418" w:type="dxa"/>
            <w:tcBorders>
              <w:top w:val="nil"/>
              <w:left w:val="nil"/>
              <w:bottom w:val="single" w:color="auto" w:sz="4" w:space="0"/>
              <w:right w:val="single" w:color="auto" w:sz="4" w:space="0"/>
            </w:tcBorders>
            <w:shd w:val="clear" w:color="auto" w:fill="auto"/>
            <w:noWrap/>
            <w:vAlign w:val="center"/>
          </w:tcPr>
          <w:p w14:paraId="0BF3DE01">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21.26</w:t>
            </w:r>
          </w:p>
        </w:tc>
        <w:tc>
          <w:tcPr>
            <w:tcW w:w="1843" w:type="dxa"/>
            <w:tcBorders>
              <w:top w:val="nil"/>
              <w:left w:val="nil"/>
              <w:bottom w:val="single" w:color="auto" w:sz="4" w:space="0"/>
              <w:right w:val="single" w:color="auto" w:sz="4" w:space="0"/>
            </w:tcBorders>
            <w:shd w:val="clear" w:color="auto" w:fill="auto"/>
            <w:noWrap/>
            <w:vAlign w:val="center"/>
          </w:tcPr>
          <w:p w14:paraId="7ACA2EA3">
            <w:pPr>
              <w:widowControl/>
              <w:spacing w:before="0" w:after="0" w:line="240" w:lineRule="auto"/>
              <w:ind w:firstLine="0" w:firstLineChars="0"/>
              <w:jc w:val="center"/>
              <w:rPr>
                <w:rFonts w:hAnsi="等线" w:cs="宋体"/>
                <w:kern w:val="0"/>
                <w:sz w:val="24"/>
                <w:szCs w:val="24"/>
              </w:rPr>
            </w:pPr>
            <w:r>
              <w:rPr>
                <w:rFonts w:hint="eastAsia"/>
                <w:sz w:val="24"/>
                <w:szCs w:val="24"/>
              </w:rPr>
              <w:t>40</w:t>
            </w:r>
          </w:p>
        </w:tc>
        <w:tc>
          <w:tcPr>
            <w:tcW w:w="1842" w:type="dxa"/>
            <w:tcBorders>
              <w:top w:val="nil"/>
              <w:left w:val="nil"/>
              <w:bottom w:val="single" w:color="auto" w:sz="4" w:space="0"/>
              <w:right w:val="single" w:color="auto" w:sz="4" w:space="0"/>
            </w:tcBorders>
            <w:shd w:val="clear" w:color="auto" w:fill="auto"/>
            <w:noWrap/>
            <w:vAlign w:val="center"/>
          </w:tcPr>
          <w:p w14:paraId="1DEA2F9A">
            <w:pPr>
              <w:widowControl/>
              <w:spacing w:before="0" w:after="0" w:line="240" w:lineRule="auto"/>
              <w:ind w:firstLine="0" w:firstLineChars="0"/>
              <w:jc w:val="center"/>
              <w:rPr>
                <w:rFonts w:hAnsi="等线" w:cs="宋体"/>
                <w:kern w:val="0"/>
                <w:sz w:val="24"/>
                <w:szCs w:val="24"/>
              </w:rPr>
            </w:pPr>
            <w:r>
              <w:rPr>
                <w:rFonts w:hAnsi="等线" w:cs="宋体"/>
                <w:kern w:val="0"/>
                <w:sz w:val="24"/>
                <w:szCs w:val="24"/>
              </w:rPr>
              <w:t>60</w:t>
            </w:r>
          </w:p>
        </w:tc>
        <w:tc>
          <w:tcPr>
            <w:tcW w:w="1326" w:type="dxa"/>
            <w:tcBorders>
              <w:top w:val="nil"/>
              <w:left w:val="nil"/>
              <w:bottom w:val="single" w:color="auto" w:sz="4" w:space="0"/>
              <w:right w:val="single" w:color="auto" w:sz="4" w:space="0"/>
            </w:tcBorders>
            <w:shd w:val="clear" w:color="auto" w:fill="auto"/>
            <w:noWrap/>
            <w:vAlign w:val="center"/>
          </w:tcPr>
          <w:p w14:paraId="360288E1">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2D23CF4E">
        <w:tblPrEx>
          <w:tblCellMar>
            <w:top w:w="0" w:type="dxa"/>
            <w:left w:w="108" w:type="dxa"/>
            <w:bottom w:w="0" w:type="dxa"/>
            <w:right w:w="108" w:type="dxa"/>
          </w:tblCellMar>
        </w:tblPrEx>
        <w:trPr>
          <w:trHeight w:val="567" w:hRule="atLeast"/>
          <w:jc w:val="center"/>
        </w:trPr>
        <w:tc>
          <w:tcPr>
            <w:tcW w:w="1271" w:type="dxa"/>
            <w:vMerge w:val="restart"/>
            <w:tcBorders>
              <w:top w:val="nil"/>
              <w:left w:val="single" w:color="auto" w:sz="4" w:space="0"/>
              <w:bottom w:val="single" w:color="auto" w:sz="4" w:space="0"/>
              <w:right w:val="single" w:color="auto" w:sz="4" w:space="0"/>
            </w:tcBorders>
            <w:shd w:val="clear" w:color="auto" w:fill="auto"/>
            <w:vAlign w:val="center"/>
          </w:tcPr>
          <w:p w14:paraId="675A265F">
            <w:pPr>
              <w:widowControl/>
              <w:spacing w:before="0" w:after="0" w:line="240" w:lineRule="auto"/>
              <w:ind w:firstLine="0" w:firstLineChars="0"/>
              <w:jc w:val="center"/>
              <w:rPr>
                <w:rFonts w:hAnsi="等线" w:cs="宋体"/>
                <w:b/>
                <w:bCs/>
                <w:kern w:val="0"/>
                <w:sz w:val="24"/>
                <w:szCs w:val="24"/>
              </w:rPr>
            </w:pPr>
            <w:r>
              <w:rPr>
                <w:rFonts w:hint="eastAsia" w:hAnsi="等线" w:cs="宋体"/>
                <w:b/>
                <w:bCs/>
                <w:kern w:val="0"/>
                <w:sz w:val="24"/>
                <w:szCs w:val="24"/>
              </w:rPr>
              <w:t>农村生态质量</w:t>
            </w:r>
          </w:p>
        </w:tc>
        <w:tc>
          <w:tcPr>
            <w:tcW w:w="5528" w:type="dxa"/>
            <w:tcBorders>
              <w:top w:val="nil"/>
              <w:left w:val="nil"/>
              <w:bottom w:val="single" w:color="auto" w:sz="4" w:space="0"/>
              <w:right w:val="single" w:color="auto" w:sz="4" w:space="0"/>
            </w:tcBorders>
            <w:shd w:val="clear" w:color="auto" w:fill="auto"/>
            <w:noWrap/>
            <w:vAlign w:val="center"/>
          </w:tcPr>
          <w:p w14:paraId="7FB3BBB3">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累计建成高标准农田面积（万亩）</w:t>
            </w:r>
          </w:p>
        </w:tc>
        <w:tc>
          <w:tcPr>
            <w:tcW w:w="1418" w:type="dxa"/>
            <w:tcBorders>
              <w:top w:val="nil"/>
              <w:left w:val="nil"/>
              <w:bottom w:val="single" w:color="auto" w:sz="4" w:space="0"/>
              <w:right w:val="single" w:color="auto" w:sz="4" w:space="0"/>
            </w:tcBorders>
            <w:shd w:val="clear" w:color="auto" w:fill="auto"/>
            <w:noWrap/>
            <w:vAlign w:val="center"/>
          </w:tcPr>
          <w:p w14:paraId="7BD14554">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97.96</w:t>
            </w:r>
          </w:p>
        </w:tc>
        <w:tc>
          <w:tcPr>
            <w:tcW w:w="1843" w:type="dxa"/>
            <w:tcBorders>
              <w:top w:val="nil"/>
              <w:left w:val="nil"/>
              <w:bottom w:val="single" w:color="auto" w:sz="4" w:space="0"/>
              <w:right w:val="single" w:color="auto" w:sz="4" w:space="0"/>
            </w:tcBorders>
            <w:shd w:val="clear" w:color="auto" w:fill="auto"/>
            <w:noWrap/>
            <w:vAlign w:val="center"/>
          </w:tcPr>
          <w:p w14:paraId="0941341D">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98.14</w:t>
            </w:r>
          </w:p>
        </w:tc>
        <w:tc>
          <w:tcPr>
            <w:tcW w:w="1842" w:type="dxa"/>
            <w:tcBorders>
              <w:top w:val="nil"/>
              <w:left w:val="nil"/>
              <w:bottom w:val="single" w:color="auto" w:sz="4" w:space="0"/>
              <w:right w:val="single" w:color="auto" w:sz="4" w:space="0"/>
            </w:tcBorders>
            <w:shd w:val="clear" w:color="auto" w:fill="auto"/>
            <w:noWrap/>
            <w:vAlign w:val="center"/>
          </w:tcPr>
          <w:p w14:paraId="0FD9E9FF">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98.14</w:t>
            </w:r>
          </w:p>
        </w:tc>
        <w:tc>
          <w:tcPr>
            <w:tcW w:w="1326" w:type="dxa"/>
            <w:tcBorders>
              <w:top w:val="nil"/>
              <w:left w:val="nil"/>
              <w:bottom w:val="single" w:color="auto" w:sz="4" w:space="0"/>
              <w:right w:val="single" w:color="auto" w:sz="4" w:space="0"/>
            </w:tcBorders>
            <w:shd w:val="clear" w:color="auto" w:fill="auto"/>
            <w:noWrap/>
            <w:vAlign w:val="center"/>
          </w:tcPr>
          <w:p w14:paraId="788D8EC4">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534F17C7">
        <w:tblPrEx>
          <w:tblCellMar>
            <w:top w:w="0" w:type="dxa"/>
            <w:left w:w="108" w:type="dxa"/>
            <w:bottom w:w="0" w:type="dxa"/>
            <w:right w:w="108" w:type="dxa"/>
          </w:tblCellMar>
        </w:tblPrEx>
        <w:trPr>
          <w:trHeight w:val="567" w:hRule="atLeast"/>
          <w:jc w:val="center"/>
        </w:trPr>
        <w:tc>
          <w:tcPr>
            <w:tcW w:w="1271" w:type="dxa"/>
            <w:vMerge w:val="continue"/>
            <w:tcBorders>
              <w:top w:val="nil"/>
              <w:left w:val="single" w:color="auto" w:sz="4" w:space="0"/>
              <w:bottom w:val="single" w:color="auto" w:sz="4" w:space="0"/>
              <w:right w:val="single" w:color="auto" w:sz="4" w:space="0"/>
            </w:tcBorders>
            <w:vAlign w:val="center"/>
          </w:tcPr>
          <w:p w14:paraId="473F90EE">
            <w:pPr>
              <w:widowControl/>
              <w:spacing w:before="0" w:after="0" w:line="240" w:lineRule="auto"/>
              <w:ind w:firstLine="0" w:firstLineChars="0"/>
              <w:jc w:val="left"/>
              <w:rPr>
                <w:rFonts w:hAnsi="等线" w:cs="宋体"/>
                <w:kern w:val="0"/>
                <w:sz w:val="24"/>
                <w:szCs w:val="24"/>
              </w:rPr>
            </w:pPr>
          </w:p>
        </w:tc>
        <w:tc>
          <w:tcPr>
            <w:tcW w:w="5528" w:type="dxa"/>
            <w:tcBorders>
              <w:top w:val="nil"/>
              <w:left w:val="nil"/>
              <w:bottom w:val="single" w:color="auto" w:sz="4" w:space="0"/>
              <w:right w:val="single" w:color="auto" w:sz="4" w:space="0"/>
            </w:tcBorders>
            <w:shd w:val="clear" w:color="auto" w:fill="auto"/>
            <w:noWrap/>
            <w:vAlign w:val="center"/>
          </w:tcPr>
          <w:p w14:paraId="59E91505">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累计改造提升高标准农田面积（万亩）</w:t>
            </w:r>
          </w:p>
        </w:tc>
        <w:tc>
          <w:tcPr>
            <w:tcW w:w="1418" w:type="dxa"/>
            <w:tcBorders>
              <w:top w:val="nil"/>
              <w:left w:val="nil"/>
              <w:bottom w:val="single" w:color="auto" w:sz="4" w:space="0"/>
              <w:right w:val="single" w:color="auto" w:sz="4" w:space="0"/>
            </w:tcBorders>
            <w:shd w:val="clear" w:color="auto" w:fill="auto"/>
            <w:noWrap/>
            <w:vAlign w:val="center"/>
          </w:tcPr>
          <w:p w14:paraId="0FD05AFB">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0</w:t>
            </w:r>
          </w:p>
        </w:tc>
        <w:tc>
          <w:tcPr>
            <w:tcW w:w="1843" w:type="dxa"/>
            <w:tcBorders>
              <w:top w:val="nil"/>
              <w:left w:val="nil"/>
              <w:bottom w:val="single" w:color="auto" w:sz="4" w:space="0"/>
              <w:right w:val="single" w:color="auto" w:sz="4" w:space="0"/>
            </w:tcBorders>
            <w:shd w:val="clear" w:color="auto" w:fill="auto"/>
            <w:noWrap/>
            <w:vAlign w:val="center"/>
          </w:tcPr>
          <w:p w14:paraId="4380279B">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11.53</w:t>
            </w:r>
          </w:p>
        </w:tc>
        <w:tc>
          <w:tcPr>
            <w:tcW w:w="1842" w:type="dxa"/>
            <w:tcBorders>
              <w:top w:val="nil"/>
              <w:left w:val="nil"/>
              <w:bottom w:val="single" w:color="auto" w:sz="4" w:space="0"/>
              <w:right w:val="single" w:color="auto" w:sz="4" w:space="0"/>
            </w:tcBorders>
            <w:shd w:val="clear" w:color="auto" w:fill="auto"/>
            <w:noWrap/>
            <w:vAlign w:val="center"/>
          </w:tcPr>
          <w:p w14:paraId="7E9A6739">
            <w:pPr>
              <w:widowControl/>
              <w:spacing w:before="0" w:after="0" w:line="240" w:lineRule="auto"/>
              <w:ind w:firstLine="0" w:firstLineChars="0"/>
              <w:jc w:val="center"/>
              <w:rPr>
                <w:rFonts w:hAnsi="等线" w:cs="宋体"/>
                <w:kern w:val="0"/>
                <w:sz w:val="24"/>
                <w:szCs w:val="24"/>
              </w:rPr>
            </w:pPr>
            <w:r>
              <w:rPr>
                <w:rFonts w:hint="eastAsia"/>
                <w:sz w:val="24"/>
                <w:szCs w:val="24"/>
              </w:rPr>
              <w:t>35.69</w:t>
            </w:r>
          </w:p>
        </w:tc>
        <w:tc>
          <w:tcPr>
            <w:tcW w:w="1326" w:type="dxa"/>
            <w:tcBorders>
              <w:top w:val="nil"/>
              <w:left w:val="nil"/>
              <w:bottom w:val="single" w:color="auto" w:sz="4" w:space="0"/>
              <w:right w:val="single" w:color="auto" w:sz="4" w:space="0"/>
            </w:tcBorders>
            <w:shd w:val="clear" w:color="auto" w:fill="auto"/>
            <w:noWrap/>
            <w:vAlign w:val="center"/>
          </w:tcPr>
          <w:p w14:paraId="2CBF8DAA">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3E796FF2">
        <w:tblPrEx>
          <w:tblCellMar>
            <w:top w:w="0" w:type="dxa"/>
            <w:left w:w="108" w:type="dxa"/>
            <w:bottom w:w="0" w:type="dxa"/>
            <w:right w:w="108" w:type="dxa"/>
          </w:tblCellMar>
        </w:tblPrEx>
        <w:trPr>
          <w:trHeight w:val="567" w:hRule="atLeast"/>
          <w:jc w:val="center"/>
        </w:trPr>
        <w:tc>
          <w:tcPr>
            <w:tcW w:w="1271" w:type="dxa"/>
            <w:vMerge w:val="continue"/>
            <w:tcBorders>
              <w:top w:val="nil"/>
              <w:left w:val="single" w:color="auto" w:sz="4" w:space="0"/>
              <w:bottom w:val="single" w:color="auto" w:sz="4" w:space="0"/>
              <w:right w:val="single" w:color="auto" w:sz="4" w:space="0"/>
            </w:tcBorders>
            <w:vAlign w:val="center"/>
          </w:tcPr>
          <w:p w14:paraId="2A99E537">
            <w:pPr>
              <w:widowControl/>
              <w:spacing w:before="0" w:after="0" w:line="240" w:lineRule="auto"/>
              <w:ind w:firstLine="0" w:firstLineChars="0"/>
              <w:jc w:val="left"/>
              <w:rPr>
                <w:rFonts w:hAnsi="等线" w:cs="宋体"/>
                <w:kern w:val="0"/>
                <w:sz w:val="24"/>
                <w:szCs w:val="24"/>
              </w:rPr>
            </w:pPr>
          </w:p>
        </w:tc>
        <w:tc>
          <w:tcPr>
            <w:tcW w:w="5528" w:type="dxa"/>
            <w:tcBorders>
              <w:top w:val="nil"/>
              <w:left w:val="nil"/>
              <w:bottom w:val="single" w:color="auto" w:sz="4" w:space="0"/>
              <w:right w:val="single" w:color="auto" w:sz="4" w:space="0"/>
            </w:tcBorders>
            <w:shd w:val="clear" w:color="auto" w:fill="auto"/>
            <w:noWrap/>
            <w:vAlign w:val="center"/>
          </w:tcPr>
          <w:p w14:paraId="04FFBD0E">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农田灌溉水有效利用系数</w:t>
            </w:r>
          </w:p>
        </w:tc>
        <w:tc>
          <w:tcPr>
            <w:tcW w:w="1418" w:type="dxa"/>
            <w:tcBorders>
              <w:top w:val="nil"/>
              <w:left w:val="nil"/>
              <w:bottom w:val="single" w:color="auto" w:sz="4" w:space="0"/>
              <w:right w:val="single" w:color="auto" w:sz="4" w:space="0"/>
            </w:tcBorders>
            <w:shd w:val="clear" w:color="auto" w:fill="auto"/>
            <w:noWrap/>
            <w:vAlign w:val="center"/>
          </w:tcPr>
          <w:p w14:paraId="640B66A0">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0.516</w:t>
            </w:r>
          </w:p>
        </w:tc>
        <w:tc>
          <w:tcPr>
            <w:tcW w:w="1843" w:type="dxa"/>
            <w:tcBorders>
              <w:top w:val="nil"/>
              <w:left w:val="nil"/>
              <w:bottom w:val="single" w:color="auto" w:sz="4" w:space="0"/>
              <w:right w:val="single" w:color="auto" w:sz="4" w:space="0"/>
            </w:tcBorders>
            <w:shd w:val="clear" w:color="auto" w:fill="auto"/>
            <w:noWrap/>
            <w:vAlign w:val="center"/>
          </w:tcPr>
          <w:p w14:paraId="5E747539">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842" w:type="dxa"/>
            <w:tcBorders>
              <w:top w:val="nil"/>
              <w:left w:val="nil"/>
              <w:bottom w:val="single" w:color="auto" w:sz="4" w:space="0"/>
              <w:right w:val="single" w:color="auto" w:sz="4" w:space="0"/>
            </w:tcBorders>
            <w:shd w:val="clear" w:color="auto" w:fill="auto"/>
            <w:noWrap/>
            <w:vAlign w:val="center"/>
          </w:tcPr>
          <w:p w14:paraId="2F2E5394">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保持稳定</w:t>
            </w:r>
          </w:p>
        </w:tc>
        <w:tc>
          <w:tcPr>
            <w:tcW w:w="1326" w:type="dxa"/>
            <w:tcBorders>
              <w:top w:val="nil"/>
              <w:left w:val="nil"/>
              <w:bottom w:val="single" w:color="auto" w:sz="4" w:space="0"/>
              <w:right w:val="single" w:color="auto" w:sz="4" w:space="0"/>
            </w:tcBorders>
            <w:shd w:val="clear" w:color="auto" w:fill="auto"/>
            <w:noWrap/>
            <w:vAlign w:val="center"/>
          </w:tcPr>
          <w:p w14:paraId="6F872146">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r w14:paraId="10383031">
        <w:tblPrEx>
          <w:tblCellMar>
            <w:top w:w="0" w:type="dxa"/>
            <w:left w:w="108" w:type="dxa"/>
            <w:bottom w:w="0" w:type="dxa"/>
            <w:right w:w="108" w:type="dxa"/>
          </w:tblCellMar>
        </w:tblPrEx>
        <w:trPr>
          <w:trHeight w:val="567" w:hRule="atLeast"/>
          <w:jc w:val="center"/>
        </w:trPr>
        <w:tc>
          <w:tcPr>
            <w:tcW w:w="1271" w:type="dxa"/>
            <w:vMerge w:val="continue"/>
            <w:tcBorders>
              <w:top w:val="nil"/>
              <w:left w:val="single" w:color="auto" w:sz="4" w:space="0"/>
              <w:bottom w:val="single" w:color="auto" w:sz="4" w:space="0"/>
              <w:right w:val="single" w:color="auto" w:sz="4" w:space="0"/>
            </w:tcBorders>
            <w:vAlign w:val="center"/>
          </w:tcPr>
          <w:p w14:paraId="6337C10A">
            <w:pPr>
              <w:widowControl/>
              <w:spacing w:before="0" w:after="0" w:line="240" w:lineRule="auto"/>
              <w:ind w:firstLine="0" w:firstLineChars="0"/>
              <w:jc w:val="left"/>
              <w:rPr>
                <w:rFonts w:hAnsi="等线" w:cs="宋体"/>
                <w:kern w:val="0"/>
                <w:sz w:val="24"/>
                <w:szCs w:val="24"/>
              </w:rPr>
            </w:pPr>
          </w:p>
        </w:tc>
        <w:tc>
          <w:tcPr>
            <w:tcW w:w="5528" w:type="dxa"/>
            <w:tcBorders>
              <w:top w:val="nil"/>
              <w:left w:val="nil"/>
              <w:bottom w:val="single" w:color="auto" w:sz="4" w:space="0"/>
              <w:right w:val="single" w:color="auto" w:sz="4" w:space="0"/>
            </w:tcBorders>
            <w:shd w:val="clear" w:color="auto" w:fill="auto"/>
            <w:noWrap/>
            <w:vAlign w:val="center"/>
          </w:tcPr>
          <w:p w14:paraId="362C3D62">
            <w:pPr>
              <w:widowControl/>
              <w:spacing w:before="0" w:after="0" w:line="240" w:lineRule="auto"/>
              <w:ind w:firstLine="0" w:firstLineChars="0"/>
              <w:jc w:val="center"/>
              <w:rPr>
                <w:rFonts w:hAnsi="等线" w:cs="宋体"/>
                <w:kern w:val="0"/>
                <w:sz w:val="24"/>
                <w:szCs w:val="24"/>
              </w:rPr>
            </w:pPr>
            <w:bookmarkStart w:id="283" w:name="_Hlk140670645"/>
            <w:r>
              <w:rPr>
                <w:rFonts w:hint="eastAsia" w:hAnsi="等线" w:cs="宋体"/>
                <w:kern w:val="0"/>
                <w:sz w:val="24"/>
                <w:szCs w:val="24"/>
              </w:rPr>
              <w:t>农村生活垃圾处理率</w:t>
            </w:r>
            <w:bookmarkEnd w:id="283"/>
            <w:r>
              <w:rPr>
                <w:rFonts w:hint="eastAsia" w:hAnsi="等线" w:cs="宋体"/>
                <w:kern w:val="0"/>
                <w:sz w:val="24"/>
                <w:szCs w:val="24"/>
              </w:rPr>
              <w:t>（%）</w:t>
            </w:r>
          </w:p>
        </w:tc>
        <w:tc>
          <w:tcPr>
            <w:tcW w:w="1418" w:type="dxa"/>
            <w:tcBorders>
              <w:top w:val="nil"/>
              <w:left w:val="nil"/>
              <w:bottom w:val="single" w:color="auto" w:sz="4" w:space="0"/>
              <w:right w:val="single" w:color="auto" w:sz="4" w:space="0"/>
            </w:tcBorders>
            <w:shd w:val="clear" w:color="auto" w:fill="auto"/>
            <w:noWrap/>
            <w:vAlign w:val="center"/>
          </w:tcPr>
          <w:p w14:paraId="6027B497">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1</w:t>
            </w:r>
            <w:r>
              <w:rPr>
                <w:rFonts w:hAnsi="等线" w:cs="宋体"/>
                <w:kern w:val="0"/>
                <w:sz w:val="24"/>
                <w:szCs w:val="24"/>
              </w:rPr>
              <w:t>00</w:t>
            </w:r>
          </w:p>
        </w:tc>
        <w:tc>
          <w:tcPr>
            <w:tcW w:w="1843" w:type="dxa"/>
            <w:tcBorders>
              <w:top w:val="nil"/>
              <w:left w:val="nil"/>
              <w:bottom w:val="single" w:color="auto" w:sz="4" w:space="0"/>
              <w:right w:val="single" w:color="auto" w:sz="4" w:space="0"/>
            </w:tcBorders>
            <w:shd w:val="clear" w:color="auto" w:fill="auto"/>
            <w:noWrap/>
            <w:vAlign w:val="center"/>
          </w:tcPr>
          <w:p w14:paraId="71126FF8">
            <w:pPr>
              <w:widowControl/>
              <w:spacing w:before="0" w:after="0" w:line="240" w:lineRule="auto"/>
              <w:ind w:firstLine="0" w:firstLineChars="0"/>
              <w:jc w:val="center"/>
              <w:rPr>
                <w:rFonts w:hAnsi="等线" w:cs="宋体"/>
                <w:kern w:val="0"/>
                <w:sz w:val="24"/>
                <w:szCs w:val="24"/>
              </w:rPr>
            </w:pPr>
            <w:r>
              <w:rPr>
                <w:rFonts w:hAnsi="等线" w:cs="宋体"/>
                <w:kern w:val="0"/>
                <w:sz w:val="24"/>
                <w:szCs w:val="24"/>
              </w:rPr>
              <w:t>100</w:t>
            </w:r>
          </w:p>
        </w:tc>
        <w:tc>
          <w:tcPr>
            <w:tcW w:w="1842" w:type="dxa"/>
            <w:tcBorders>
              <w:top w:val="nil"/>
              <w:left w:val="nil"/>
              <w:bottom w:val="single" w:color="auto" w:sz="4" w:space="0"/>
              <w:right w:val="single" w:color="auto" w:sz="4" w:space="0"/>
            </w:tcBorders>
            <w:shd w:val="clear" w:color="auto" w:fill="auto"/>
            <w:noWrap/>
            <w:vAlign w:val="center"/>
          </w:tcPr>
          <w:p w14:paraId="116F7177">
            <w:pPr>
              <w:widowControl/>
              <w:spacing w:before="0" w:after="0" w:line="240" w:lineRule="auto"/>
              <w:ind w:firstLine="0" w:firstLineChars="0"/>
              <w:jc w:val="center"/>
              <w:rPr>
                <w:rFonts w:hAnsi="等线" w:cs="宋体"/>
                <w:kern w:val="0"/>
                <w:sz w:val="24"/>
                <w:szCs w:val="24"/>
              </w:rPr>
            </w:pPr>
            <w:r>
              <w:rPr>
                <w:rFonts w:hAnsi="等线" w:cs="宋体"/>
                <w:kern w:val="0"/>
                <w:sz w:val="24"/>
                <w:szCs w:val="24"/>
              </w:rPr>
              <w:t>100</w:t>
            </w:r>
          </w:p>
        </w:tc>
        <w:tc>
          <w:tcPr>
            <w:tcW w:w="1326" w:type="dxa"/>
            <w:tcBorders>
              <w:top w:val="nil"/>
              <w:left w:val="nil"/>
              <w:bottom w:val="single" w:color="auto" w:sz="4" w:space="0"/>
              <w:right w:val="single" w:color="auto" w:sz="4" w:space="0"/>
            </w:tcBorders>
            <w:shd w:val="clear" w:color="auto" w:fill="auto"/>
            <w:noWrap/>
            <w:vAlign w:val="center"/>
          </w:tcPr>
          <w:p w14:paraId="1D28835A">
            <w:pPr>
              <w:widowControl/>
              <w:spacing w:before="0" w:after="0" w:line="240" w:lineRule="auto"/>
              <w:ind w:firstLine="0" w:firstLineChars="0"/>
              <w:jc w:val="center"/>
              <w:rPr>
                <w:rFonts w:hAnsi="等线" w:cs="宋体"/>
                <w:kern w:val="0"/>
                <w:sz w:val="24"/>
                <w:szCs w:val="24"/>
              </w:rPr>
            </w:pPr>
            <w:r>
              <w:rPr>
                <w:rFonts w:hint="eastAsia" w:hAnsi="等线" w:cs="宋体"/>
                <w:kern w:val="0"/>
                <w:sz w:val="24"/>
                <w:szCs w:val="24"/>
              </w:rPr>
              <w:t>预期性</w:t>
            </w:r>
          </w:p>
        </w:tc>
      </w:tr>
    </w:tbl>
    <w:p w14:paraId="1FB29D78">
      <w:pPr>
        <w:spacing w:before="0" w:after="0" w:line="240" w:lineRule="auto"/>
        <w:ind w:firstLine="0" w:firstLineChars="0"/>
        <w:jc w:val="left"/>
        <w:rPr>
          <w:sz w:val="21"/>
          <w:szCs w:val="21"/>
        </w:rPr>
        <w:sectPr>
          <w:pgSz w:w="16838" w:h="23811"/>
          <w:pgMar w:top="1440" w:right="1800" w:bottom="1440" w:left="1800" w:header="851" w:footer="992" w:gutter="0"/>
          <w:cols w:space="720" w:num="1"/>
          <w:docGrid w:type="lines" w:linePitch="381" w:charSpace="0"/>
        </w:sectPr>
      </w:pPr>
      <w:r>
        <w:rPr>
          <w:rFonts w:hint="eastAsia"/>
          <w:sz w:val="21"/>
          <w:szCs w:val="21"/>
        </w:rPr>
        <w:t>注：上述指标数据主要参考《江西省“十四五”国土空间生态修复规划》、《南昌市国土空间生态修复专项规划</w:t>
      </w:r>
      <w:r>
        <w:rPr>
          <w:sz w:val="21"/>
          <w:szCs w:val="21"/>
        </w:rPr>
        <w:t>(2021-2035年）</w:t>
      </w:r>
      <w:r>
        <w:rPr>
          <w:rFonts w:hint="eastAsia"/>
          <w:sz w:val="21"/>
          <w:szCs w:val="21"/>
        </w:rPr>
        <w:t>)、《南昌县（小蓝经开区</w:t>
      </w:r>
      <w:r>
        <w:rPr>
          <w:sz w:val="21"/>
          <w:szCs w:val="21"/>
        </w:rPr>
        <w:t>)国民经济和社会发展</w:t>
      </w:r>
      <w:r>
        <w:rPr>
          <w:rFonts w:hint="eastAsia"/>
          <w:sz w:val="21"/>
          <w:szCs w:val="21"/>
        </w:rPr>
        <w:t>第十四个五年规划和二</w:t>
      </w:r>
      <w:r>
        <w:rPr>
          <w:rFonts w:hint="eastAsia"/>
          <w:sz w:val="21"/>
          <w:szCs w:val="21"/>
          <w:lang w:val="en-US" w:eastAsia="zh-CN"/>
        </w:rPr>
        <w:t>O</w:t>
      </w:r>
      <w:r>
        <w:rPr>
          <w:rFonts w:hint="eastAsia"/>
          <w:sz w:val="21"/>
          <w:szCs w:val="21"/>
        </w:rPr>
        <w:t>三五年远景目标纲要》、《南昌县国土空间总体规划</w:t>
      </w:r>
      <w:r>
        <w:rPr>
          <w:sz w:val="21"/>
          <w:szCs w:val="21"/>
        </w:rPr>
        <w:t>(2021-2035年)</w:t>
      </w:r>
      <w:r>
        <w:rPr>
          <w:rFonts w:hint="eastAsia"/>
          <w:sz w:val="21"/>
          <w:szCs w:val="21"/>
        </w:rPr>
        <w:t>》以及南昌县各部门相关专项规划等文件。</w:t>
      </w:r>
    </w:p>
    <w:p w14:paraId="13A95D94">
      <w:pPr>
        <w:pStyle w:val="3"/>
        <w:spacing w:before="190" w:beforeLines="50" w:after="190" w:afterLines="50" w:line="360" w:lineRule="auto"/>
        <w:ind w:firstLine="0" w:firstLineChars="0"/>
        <w:rPr>
          <w:rFonts w:ascii="黑体" w:hAnsi="黑体" w:eastAsia="黑体"/>
          <w:sz w:val="30"/>
          <w:szCs w:val="30"/>
        </w:rPr>
      </w:pPr>
      <w:bookmarkStart w:id="284" w:name="_Toc86257473"/>
      <w:bookmarkStart w:id="285" w:name="_Toc131005139"/>
      <w:r>
        <w:rPr>
          <w:rFonts w:hint="eastAsia" w:ascii="黑体" w:hAnsi="黑体" w:eastAsia="黑体"/>
          <w:sz w:val="30"/>
          <w:szCs w:val="30"/>
        </w:rPr>
        <w:t>附表</w:t>
      </w:r>
      <w:r>
        <w:rPr>
          <w:rFonts w:ascii="黑体" w:hAnsi="黑体" w:eastAsia="黑体"/>
          <w:sz w:val="30"/>
          <w:szCs w:val="30"/>
        </w:rPr>
        <w:t>2</w:t>
      </w:r>
      <w:r>
        <w:rPr>
          <w:rFonts w:hint="eastAsia" w:ascii="黑体" w:hAnsi="黑体" w:eastAsia="黑体"/>
          <w:sz w:val="30"/>
          <w:szCs w:val="30"/>
        </w:rPr>
        <w:t>：</w:t>
      </w:r>
      <w:bookmarkEnd w:id="277"/>
      <w:bookmarkEnd w:id="278"/>
      <w:bookmarkEnd w:id="284"/>
      <w:r>
        <w:rPr>
          <w:rFonts w:hint="eastAsia" w:ascii="黑体" w:hAnsi="黑体" w:eastAsia="黑体"/>
          <w:sz w:val="30"/>
          <w:szCs w:val="30"/>
        </w:rPr>
        <w:t>国土空间生态修复重点工程安排表</w:t>
      </w:r>
      <w:bookmarkEnd w:id="285"/>
    </w:p>
    <w:tbl>
      <w:tblPr>
        <w:tblStyle w:val="21"/>
        <w:tblW w:w="0" w:type="auto"/>
        <w:tblInd w:w="0" w:type="dxa"/>
        <w:tblLayout w:type="fixed"/>
        <w:tblCellMar>
          <w:top w:w="0" w:type="dxa"/>
          <w:left w:w="108" w:type="dxa"/>
          <w:bottom w:w="0" w:type="dxa"/>
          <w:right w:w="108" w:type="dxa"/>
        </w:tblCellMar>
      </w:tblPr>
      <w:tblGrid>
        <w:gridCol w:w="1129"/>
        <w:gridCol w:w="1843"/>
        <w:gridCol w:w="1418"/>
        <w:gridCol w:w="6378"/>
        <w:gridCol w:w="1418"/>
        <w:gridCol w:w="1042"/>
      </w:tblGrid>
      <w:tr w14:paraId="5695A2E8">
        <w:tblPrEx>
          <w:tblCellMar>
            <w:top w:w="0" w:type="dxa"/>
            <w:left w:w="108" w:type="dxa"/>
            <w:bottom w:w="0" w:type="dxa"/>
            <w:right w:w="108" w:type="dxa"/>
          </w:tblCellMar>
        </w:tblPrEx>
        <w:trPr>
          <w:trHeight w:val="285" w:hRule="atLeast"/>
          <w:tblHeader/>
        </w:trPr>
        <w:tc>
          <w:tcPr>
            <w:tcW w:w="1129" w:type="dxa"/>
            <w:tcBorders>
              <w:top w:val="single" w:color="auto" w:sz="4" w:space="0"/>
              <w:left w:val="single" w:color="auto" w:sz="4" w:space="0"/>
              <w:bottom w:val="single" w:color="auto" w:sz="4" w:space="0"/>
              <w:right w:val="single" w:color="auto" w:sz="4" w:space="0"/>
            </w:tcBorders>
            <w:shd w:val="clear" w:color="auto" w:fill="auto"/>
            <w:vAlign w:val="center"/>
          </w:tcPr>
          <w:p w14:paraId="543F1321">
            <w:pPr>
              <w:widowControl/>
              <w:spacing w:before="0" w:after="0" w:line="240" w:lineRule="auto"/>
              <w:ind w:firstLine="0" w:firstLineChars="0"/>
              <w:jc w:val="center"/>
              <w:rPr>
                <w:rFonts w:hAnsi="等线" w:cs="宋体"/>
                <w:b/>
                <w:bCs/>
                <w:color w:val="000000"/>
                <w:kern w:val="0"/>
                <w:sz w:val="18"/>
                <w:szCs w:val="18"/>
              </w:rPr>
            </w:pPr>
            <w:r>
              <w:rPr>
                <w:rFonts w:hint="eastAsia" w:hAnsi="等线" w:cs="宋体"/>
                <w:b/>
                <w:bCs/>
                <w:color w:val="000000"/>
                <w:kern w:val="0"/>
                <w:sz w:val="18"/>
                <w:szCs w:val="18"/>
              </w:rPr>
              <w:t>重大工程类别</w:t>
            </w:r>
          </w:p>
        </w:tc>
        <w:tc>
          <w:tcPr>
            <w:tcW w:w="1843" w:type="dxa"/>
            <w:tcBorders>
              <w:top w:val="single" w:color="auto" w:sz="4" w:space="0"/>
              <w:left w:val="nil"/>
              <w:bottom w:val="single" w:color="auto" w:sz="4" w:space="0"/>
              <w:right w:val="single" w:color="auto" w:sz="4" w:space="0"/>
            </w:tcBorders>
            <w:shd w:val="clear" w:color="auto" w:fill="auto"/>
            <w:vAlign w:val="center"/>
          </w:tcPr>
          <w:p w14:paraId="3506F6AC">
            <w:pPr>
              <w:widowControl/>
              <w:spacing w:before="0" w:after="0" w:line="240" w:lineRule="auto"/>
              <w:ind w:firstLine="0" w:firstLineChars="0"/>
              <w:jc w:val="center"/>
              <w:rPr>
                <w:rFonts w:hAnsi="等线" w:cs="宋体"/>
                <w:b/>
                <w:bCs/>
                <w:color w:val="000000"/>
                <w:kern w:val="0"/>
                <w:sz w:val="18"/>
                <w:szCs w:val="18"/>
              </w:rPr>
            </w:pPr>
            <w:r>
              <w:rPr>
                <w:rFonts w:hint="eastAsia" w:hAnsi="等线" w:cs="宋体"/>
                <w:b/>
                <w:bCs/>
                <w:color w:val="000000"/>
                <w:kern w:val="0"/>
                <w:sz w:val="18"/>
                <w:szCs w:val="18"/>
              </w:rPr>
              <w:t>重点项目名称</w:t>
            </w:r>
          </w:p>
        </w:tc>
        <w:tc>
          <w:tcPr>
            <w:tcW w:w="1418" w:type="dxa"/>
            <w:tcBorders>
              <w:top w:val="single" w:color="auto" w:sz="4" w:space="0"/>
              <w:left w:val="nil"/>
              <w:bottom w:val="single" w:color="auto" w:sz="4" w:space="0"/>
              <w:right w:val="single" w:color="auto" w:sz="4" w:space="0"/>
            </w:tcBorders>
            <w:shd w:val="clear" w:color="auto" w:fill="auto"/>
            <w:vAlign w:val="center"/>
          </w:tcPr>
          <w:p w14:paraId="6DCED59B">
            <w:pPr>
              <w:widowControl/>
              <w:spacing w:before="0" w:after="0" w:line="240" w:lineRule="auto"/>
              <w:ind w:firstLine="0" w:firstLineChars="0"/>
              <w:jc w:val="center"/>
              <w:rPr>
                <w:rFonts w:hAnsi="等线" w:cs="宋体"/>
                <w:b/>
                <w:bCs/>
                <w:color w:val="000000"/>
                <w:kern w:val="0"/>
                <w:sz w:val="18"/>
                <w:szCs w:val="18"/>
              </w:rPr>
            </w:pPr>
            <w:r>
              <w:rPr>
                <w:rFonts w:hint="eastAsia" w:hAnsi="等线" w:cs="宋体"/>
                <w:b/>
                <w:bCs/>
                <w:color w:val="000000"/>
                <w:kern w:val="0"/>
                <w:sz w:val="18"/>
                <w:szCs w:val="18"/>
              </w:rPr>
              <w:t>实施区域</w:t>
            </w:r>
          </w:p>
        </w:tc>
        <w:tc>
          <w:tcPr>
            <w:tcW w:w="6378" w:type="dxa"/>
            <w:tcBorders>
              <w:top w:val="single" w:color="auto" w:sz="4" w:space="0"/>
              <w:left w:val="nil"/>
              <w:bottom w:val="single" w:color="auto" w:sz="4" w:space="0"/>
              <w:right w:val="single" w:color="auto" w:sz="4" w:space="0"/>
            </w:tcBorders>
            <w:shd w:val="clear" w:color="auto" w:fill="auto"/>
            <w:vAlign w:val="center"/>
          </w:tcPr>
          <w:p w14:paraId="35FE82FE">
            <w:pPr>
              <w:widowControl/>
              <w:spacing w:before="0" w:after="0" w:line="240" w:lineRule="auto"/>
              <w:ind w:firstLine="0" w:firstLineChars="0"/>
              <w:jc w:val="center"/>
              <w:rPr>
                <w:rFonts w:hAnsi="等线" w:cs="宋体"/>
                <w:b/>
                <w:bCs/>
                <w:color w:val="000000"/>
                <w:kern w:val="0"/>
                <w:sz w:val="18"/>
                <w:szCs w:val="18"/>
              </w:rPr>
            </w:pPr>
            <w:r>
              <w:rPr>
                <w:rFonts w:hint="eastAsia" w:hAnsi="等线" w:cs="宋体"/>
                <w:b/>
                <w:bCs/>
                <w:color w:val="000000"/>
                <w:kern w:val="0"/>
                <w:sz w:val="18"/>
                <w:szCs w:val="18"/>
              </w:rPr>
              <w:t>主要任务</w:t>
            </w:r>
          </w:p>
        </w:tc>
        <w:tc>
          <w:tcPr>
            <w:tcW w:w="1418" w:type="dxa"/>
            <w:tcBorders>
              <w:top w:val="single" w:color="auto" w:sz="4" w:space="0"/>
              <w:left w:val="nil"/>
              <w:bottom w:val="single" w:color="auto" w:sz="4" w:space="0"/>
              <w:right w:val="single" w:color="auto" w:sz="4" w:space="0"/>
            </w:tcBorders>
            <w:shd w:val="clear" w:color="auto" w:fill="auto"/>
            <w:vAlign w:val="center"/>
          </w:tcPr>
          <w:p w14:paraId="109CA2B2">
            <w:pPr>
              <w:widowControl/>
              <w:spacing w:before="0" w:after="0" w:line="240" w:lineRule="auto"/>
              <w:ind w:firstLine="0" w:firstLineChars="0"/>
              <w:jc w:val="center"/>
              <w:rPr>
                <w:rFonts w:hAnsi="等线" w:cs="宋体"/>
                <w:b/>
                <w:bCs/>
                <w:color w:val="000000"/>
                <w:kern w:val="0"/>
                <w:sz w:val="18"/>
                <w:szCs w:val="18"/>
              </w:rPr>
            </w:pPr>
            <w:r>
              <w:rPr>
                <w:rFonts w:hint="eastAsia" w:hAnsi="等线" w:cs="宋体"/>
                <w:b/>
                <w:bCs/>
                <w:color w:val="000000"/>
                <w:kern w:val="0"/>
                <w:sz w:val="18"/>
                <w:szCs w:val="18"/>
              </w:rPr>
              <w:t>牵头部门</w:t>
            </w:r>
          </w:p>
        </w:tc>
        <w:tc>
          <w:tcPr>
            <w:tcW w:w="1042" w:type="dxa"/>
            <w:tcBorders>
              <w:top w:val="single" w:color="auto" w:sz="4" w:space="0"/>
              <w:left w:val="nil"/>
              <w:bottom w:val="single" w:color="auto" w:sz="4" w:space="0"/>
              <w:right w:val="single" w:color="auto" w:sz="4" w:space="0"/>
            </w:tcBorders>
            <w:shd w:val="clear" w:color="auto" w:fill="auto"/>
            <w:noWrap/>
            <w:vAlign w:val="center"/>
          </w:tcPr>
          <w:p w14:paraId="6826E2FF">
            <w:pPr>
              <w:widowControl/>
              <w:spacing w:before="0" w:after="0" w:line="240" w:lineRule="auto"/>
              <w:ind w:firstLine="0" w:firstLineChars="0"/>
              <w:jc w:val="center"/>
              <w:rPr>
                <w:rFonts w:hAnsi="等线" w:cs="宋体"/>
                <w:b/>
                <w:bCs/>
                <w:color w:val="000000"/>
                <w:kern w:val="0"/>
                <w:sz w:val="18"/>
                <w:szCs w:val="18"/>
              </w:rPr>
            </w:pPr>
            <w:r>
              <w:rPr>
                <w:rFonts w:hint="eastAsia" w:hAnsi="等线" w:cs="宋体"/>
                <w:b/>
                <w:bCs/>
                <w:color w:val="000000"/>
                <w:kern w:val="0"/>
                <w:sz w:val="18"/>
                <w:szCs w:val="18"/>
              </w:rPr>
              <w:t>资金需求(万元)</w:t>
            </w:r>
          </w:p>
        </w:tc>
      </w:tr>
      <w:tr w14:paraId="7D2D172A">
        <w:tblPrEx>
          <w:tblCellMar>
            <w:top w:w="0" w:type="dxa"/>
            <w:left w:w="108" w:type="dxa"/>
            <w:bottom w:w="0" w:type="dxa"/>
            <w:right w:w="108" w:type="dxa"/>
          </w:tblCellMar>
        </w:tblPrEx>
        <w:trPr>
          <w:trHeight w:val="1350" w:hRule="atLeast"/>
        </w:trPr>
        <w:tc>
          <w:tcPr>
            <w:tcW w:w="1129" w:type="dxa"/>
            <w:vMerge w:val="restart"/>
            <w:tcBorders>
              <w:top w:val="nil"/>
              <w:left w:val="single" w:color="auto" w:sz="4" w:space="0"/>
              <w:bottom w:val="single" w:color="auto" w:sz="4" w:space="0"/>
              <w:right w:val="single" w:color="auto" w:sz="4" w:space="0"/>
            </w:tcBorders>
            <w:shd w:val="clear" w:color="auto" w:fill="auto"/>
            <w:vAlign w:val="center"/>
          </w:tcPr>
          <w:p w14:paraId="442D81A3">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湿地生态保护修复工程</w:t>
            </w:r>
          </w:p>
        </w:tc>
        <w:tc>
          <w:tcPr>
            <w:tcW w:w="1843" w:type="dxa"/>
            <w:tcBorders>
              <w:top w:val="nil"/>
              <w:left w:val="nil"/>
              <w:bottom w:val="single" w:color="auto" w:sz="4" w:space="0"/>
              <w:right w:val="single" w:color="auto" w:sz="4" w:space="0"/>
            </w:tcBorders>
            <w:shd w:val="clear" w:color="auto" w:fill="auto"/>
            <w:vAlign w:val="center"/>
          </w:tcPr>
          <w:p w14:paraId="30BCFED8">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江西南昌三湖地方级湿地公园保护修复项目</w:t>
            </w:r>
          </w:p>
        </w:tc>
        <w:tc>
          <w:tcPr>
            <w:tcW w:w="1418" w:type="dxa"/>
            <w:tcBorders>
              <w:top w:val="nil"/>
              <w:left w:val="nil"/>
              <w:bottom w:val="single" w:color="auto" w:sz="4" w:space="0"/>
              <w:right w:val="single" w:color="auto" w:sz="4" w:space="0"/>
            </w:tcBorders>
            <w:shd w:val="clear" w:color="auto" w:fill="auto"/>
            <w:vAlign w:val="center"/>
          </w:tcPr>
          <w:p w14:paraId="44D6B08D">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蒋巷镇、将军洲农场</w:t>
            </w:r>
          </w:p>
        </w:tc>
        <w:tc>
          <w:tcPr>
            <w:tcW w:w="6378" w:type="dxa"/>
            <w:tcBorders>
              <w:top w:val="nil"/>
              <w:left w:val="nil"/>
              <w:bottom w:val="single" w:color="auto" w:sz="4" w:space="0"/>
              <w:right w:val="single" w:color="auto" w:sz="4" w:space="0"/>
            </w:tcBorders>
            <w:shd w:val="clear" w:color="auto" w:fill="auto"/>
            <w:vAlign w:val="center"/>
          </w:tcPr>
          <w:p w14:paraId="347A67C4">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针对湿地公园草地生态系统退化、水土流失、森林破坏、生态服务功能变弱等问题，实施泥沙清淤和河道疏浚，并对河湖消落带进行地质治理与适生植被培育与种植。通过基质恢复、植被修复、底栖生物恢复、浅滩和生态护坡营造、水鸟生境营建等措施，改善湿地生态质量，提升湿地生态功能，增加鄱阳湖湿地面积，维持越冬水鸟和鱼类栖息地生态环境。实施湿地生境恢复和生态景观功能提质，以维护湿地生物多样性，保护和提升鄱阳湖湿地的水源涵养能力，提高湿地自净能力及流域内的水质，缓解人为活动对湿地造成的破坏，减少水土流水，系统修复区内生态环境。</w:t>
            </w:r>
          </w:p>
        </w:tc>
        <w:tc>
          <w:tcPr>
            <w:tcW w:w="1418" w:type="dxa"/>
            <w:tcBorders>
              <w:top w:val="nil"/>
              <w:left w:val="nil"/>
              <w:bottom w:val="single" w:color="auto" w:sz="4" w:space="0"/>
              <w:right w:val="single" w:color="auto" w:sz="4" w:space="0"/>
            </w:tcBorders>
            <w:shd w:val="clear" w:color="auto" w:fill="auto"/>
            <w:vAlign w:val="center"/>
          </w:tcPr>
          <w:p w14:paraId="66475256">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江西省鄱阳湖保护区管理局</w:t>
            </w:r>
          </w:p>
        </w:tc>
        <w:tc>
          <w:tcPr>
            <w:tcW w:w="1042" w:type="dxa"/>
            <w:tcBorders>
              <w:top w:val="nil"/>
              <w:left w:val="nil"/>
              <w:bottom w:val="single" w:color="auto" w:sz="4" w:space="0"/>
              <w:right w:val="single" w:color="auto" w:sz="4" w:space="0"/>
            </w:tcBorders>
            <w:shd w:val="clear" w:color="auto" w:fill="auto"/>
            <w:vAlign w:val="center"/>
          </w:tcPr>
          <w:p w14:paraId="6D1F0C14">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20000</w:t>
            </w:r>
          </w:p>
        </w:tc>
      </w:tr>
      <w:tr w14:paraId="27919337">
        <w:tblPrEx>
          <w:tblCellMar>
            <w:top w:w="0" w:type="dxa"/>
            <w:left w:w="108" w:type="dxa"/>
            <w:bottom w:w="0" w:type="dxa"/>
            <w:right w:w="108" w:type="dxa"/>
          </w:tblCellMar>
        </w:tblPrEx>
        <w:trPr>
          <w:trHeight w:val="1125" w:hRule="atLeast"/>
        </w:trPr>
        <w:tc>
          <w:tcPr>
            <w:tcW w:w="1129" w:type="dxa"/>
            <w:vMerge w:val="continue"/>
            <w:tcBorders>
              <w:top w:val="nil"/>
              <w:left w:val="single" w:color="auto" w:sz="4" w:space="0"/>
              <w:bottom w:val="single" w:color="auto" w:sz="4" w:space="0"/>
              <w:right w:val="single" w:color="auto" w:sz="4" w:space="0"/>
            </w:tcBorders>
            <w:vAlign w:val="center"/>
          </w:tcPr>
          <w:p w14:paraId="362A4A76">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42357919">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鄱阳湖湿地生态气候监测评估能力提升项目</w:t>
            </w:r>
          </w:p>
        </w:tc>
        <w:tc>
          <w:tcPr>
            <w:tcW w:w="1418" w:type="dxa"/>
            <w:tcBorders>
              <w:top w:val="nil"/>
              <w:left w:val="nil"/>
              <w:bottom w:val="single" w:color="auto" w:sz="4" w:space="0"/>
              <w:right w:val="single" w:color="auto" w:sz="4" w:space="0"/>
            </w:tcBorders>
            <w:shd w:val="clear" w:color="auto" w:fill="auto"/>
            <w:vAlign w:val="center"/>
          </w:tcPr>
          <w:p w14:paraId="3BFE6950">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南新乡、蒋巷镇、将军洲农场、泾口乡</w:t>
            </w:r>
          </w:p>
        </w:tc>
        <w:tc>
          <w:tcPr>
            <w:tcW w:w="6378" w:type="dxa"/>
            <w:tcBorders>
              <w:top w:val="nil"/>
              <w:left w:val="nil"/>
              <w:bottom w:val="single" w:color="auto" w:sz="4" w:space="0"/>
              <w:right w:val="single" w:color="auto" w:sz="4" w:space="0"/>
            </w:tcBorders>
            <w:shd w:val="clear" w:color="auto" w:fill="auto"/>
            <w:vAlign w:val="center"/>
          </w:tcPr>
          <w:p w14:paraId="3A5E639D">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完善鄱阳湖湿地生态气象监测，在鄱阳湖湿地区域建立湿地生态气象监测站和小气候监测站网，布设气象生态浮标观测站、湿地植被自动观测站、微波辐射仪、自动气象监测站等，并新建鄱阳湖越冬候鸟迁飞检测雷达，引入卫星多源遥感观测系统，进一步提升生态气象监测能力。建成天地空一体的生态气象观测网络，实现对鄱阳湖湿地植被、水体变化、动植物栖息水环境、土地类型变化的气候影响评估，提升鄱阳湖湿地生态评估能力，为鄱阳湖湿地生态保护修复提供技术支撑。</w:t>
            </w:r>
          </w:p>
        </w:tc>
        <w:tc>
          <w:tcPr>
            <w:tcW w:w="1418" w:type="dxa"/>
            <w:tcBorders>
              <w:top w:val="nil"/>
              <w:left w:val="nil"/>
              <w:bottom w:val="single" w:color="auto" w:sz="4" w:space="0"/>
              <w:right w:val="single" w:color="auto" w:sz="4" w:space="0"/>
            </w:tcBorders>
            <w:shd w:val="clear" w:color="auto" w:fill="auto"/>
            <w:vAlign w:val="center"/>
          </w:tcPr>
          <w:p w14:paraId="1D4A1377">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南昌市气象局</w:t>
            </w:r>
          </w:p>
        </w:tc>
        <w:tc>
          <w:tcPr>
            <w:tcW w:w="1042" w:type="dxa"/>
            <w:tcBorders>
              <w:top w:val="nil"/>
              <w:left w:val="nil"/>
              <w:bottom w:val="single" w:color="auto" w:sz="4" w:space="0"/>
              <w:right w:val="single" w:color="auto" w:sz="4" w:space="0"/>
            </w:tcBorders>
            <w:shd w:val="clear" w:color="auto" w:fill="auto"/>
            <w:vAlign w:val="center"/>
          </w:tcPr>
          <w:p w14:paraId="5262C1BA">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6000</w:t>
            </w:r>
          </w:p>
        </w:tc>
      </w:tr>
      <w:tr w14:paraId="09225A43">
        <w:tblPrEx>
          <w:tblCellMar>
            <w:top w:w="0" w:type="dxa"/>
            <w:left w:w="108" w:type="dxa"/>
            <w:bottom w:w="0" w:type="dxa"/>
            <w:right w:w="108" w:type="dxa"/>
          </w:tblCellMar>
        </w:tblPrEx>
        <w:trPr>
          <w:trHeight w:val="900" w:hRule="atLeast"/>
        </w:trPr>
        <w:tc>
          <w:tcPr>
            <w:tcW w:w="1129" w:type="dxa"/>
            <w:vMerge w:val="continue"/>
            <w:tcBorders>
              <w:top w:val="nil"/>
              <w:left w:val="single" w:color="auto" w:sz="4" w:space="0"/>
              <w:bottom w:val="single" w:color="auto" w:sz="4" w:space="0"/>
              <w:right w:val="single" w:color="auto" w:sz="4" w:space="0"/>
            </w:tcBorders>
            <w:vAlign w:val="center"/>
          </w:tcPr>
          <w:p w14:paraId="63C14C92">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5AB7A567">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滨河（湖）生态缓冲带划定与生态修复项目</w:t>
            </w:r>
          </w:p>
        </w:tc>
        <w:tc>
          <w:tcPr>
            <w:tcW w:w="1418" w:type="dxa"/>
            <w:tcBorders>
              <w:top w:val="nil"/>
              <w:left w:val="nil"/>
              <w:bottom w:val="single" w:color="auto" w:sz="4" w:space="0"/>
              <w:right w:val="single" w:color="auto" w:sz="4" w:space="0"/>
            </w:tcBorders>
            <w:shd w:val="clear" w:color="auto" w:fill="auto"/>
            <w:vAlign w:val="center"/>
          </w:tcPr>
          <w:p w14:paraId="6770AD47">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南新乡、蒋巷镇、将军洲农场、泾口乡、塔城乡</w:t>
            </w:r>
          </w:p>
        </w:tc>
        <w:tc>
          <w:tcPr>
            <w:tcW w:w="6378" w:type="dxa"/>
            <w:tcBorders>
              <w:top w:val="nil"/>
              <w:left w:val="nil"/>
              <w:bottom w:val="single" w:color="auto" w:sz="4" w:space="0"/>
              <w:right w:val="single" w:color="auto" w:sz="4" w:space="0"/>
            </w:tcBorders>
            <w:shd w:val="clear" w:color="auto" w:fill="auto"/>
            <w:vAlign w:val="center"/>
          </w:tcPr>
          <w:p w14:paraId="539DE6D7">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重点开展赣江岸线生态综合治理、环鄱阳湖岸线生态修复，打造近自然的滨湖生态缓冲带。加强湖滨和河流生态缓冲带生态建设、维护与监测评价，通过基底修复、水质改善、植物群落构建、植物群落修复、生境营造、建设生态拦截沟等措施，恢复受损河湖岸带生态系统生境条件，使退化的河湖岸带恢复到健康状态，满足其主要生态服务功能。</w:t>
            </w:r>
          </w:p>
        </w:tc>
        <w:tc>
          <w:tcPr>
            <w:tcW w:w="1418" w:type="dxa"/>
            <w:tcBorders>
              <w:top w:val="nil"/>
              <w:left w:val="nil"/>
              <w:bottom w:val="single" w:color="auto" w:sz="4" w:space="0"/>
              <w:right w:val="single" w:color="auto" w:sz="4" w:space="0"/>
            </w:tcBorders>
            <w:shd w:val="clear" w:color="auto" w:fill="auto"/>
            <w:vAlign w:val="center"/>
          </w:tcPr>
          <w:p w14:paraId="7084930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南昌县自然资源和规划局</w:t>
            </w:r>
          </w:p>
        </w:tc>
        <w:tc>
          <w:tcPr>
            <w:tcW w:w="1042" w:type="dxa"/>
            <w:tcBorders>
              <w:top w:val="nil"/>
              <w:left w:val="nil"/>
              <w:bottom w:val="single" w:color="auto" w:sz="4" w:space="0"/>
              <w:right w:val="single" w:color="auto" w:sz="4" w:space="0"/>
            </w:tcBorders>
            <w:shd w:val="clear" w:color="auto" w:fill="auto"/>
            <w:vAlign w:val="center"/>
          </w:tcPr>
          <w:p w14:paraId="747FCDA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5000</w:t>
            </w:r>
          </w:p>
        </w:tc>
      </w:tr>
      <w:tr w14:paraId="46E64FA0">
        <w:tblPrEx>
          <w:tblCellMar>
            <w:top w:w="0" w:type="dxa"/>
            <w:left w:w="108" w:type="dxa"/>
            <w:bottom w:w="0" w:type="dxa"/>
            <w:right w:w="108" w:type="dxa"/>
          </w:tblCellMar>
        </w:tblPrEx>
        <w:trPr>
          <w:trHeight w:val="1125" w:hRule="atLeast"/>
        </w:trPr>
        <w:tc>
          <w:tcPr>
            <w:tcW w:w="1129" w:type="dxa"/>
            <w:vMerge w:val="continue"/>
            <w:tcBorders>
              <w:top w:val="nil"/>
              <w:left w:val="single" w:color="auto" w:sz="4" w:space="0"/>
              <w:bottom w:val="single" w:color="auto" w:sz="4" w:space="0"/>
              <w:right w:val="single" w:color="auto" w:sz="4" w:space="0"/>
            </w:tcBorders>
            <w:vAlign w:val="center"/>
          </w:tcPr>
          <w:p w14:paraId="607AB4D1">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150C353B">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南昌县小微湿地建设项目</w:t>
            </w:r>
          </w:p>
        </w:tc>
        <w:tc>
          <w:tcPr>
            <w:tcW w:w="1418" w:type="dxa"/>
            <w:tcBorders>
              <w:top w:val="nil"/>
              <w:left w:val="nil"/>
              <w:bottom w:val="single" w:color="auto" w:sz="4" w:space="0"/>
              <w:right w:val="single" w:color="auto" w:sz="4" w:space="0"/>
            </w:tcBorders>
            <w:shd w:val="clear" w:color="auto" w:fill="auto"/>
            <w:vAlign w:val="center"/>
          </w:tcPr>
          <w:p w14:paraId="23F1D8AB">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南新乡、蒋巷镇、塘南镇、八一乡、泾口乡等</w:t>
            </w:r>
          </w:p>
        </w:tc>
        <w:tc>
          <w:tcPr>
            <w:tcW w:w="6378" w:type="dxa"/>
            <w:tcBorders>
              <w:top w:val="nil"/>
              <w:left w:val="nil"/>
              <w:bottom w:val="single" w:color="auto" w:sz="4" w:space="0"/>
              <w:right w:val="single" w:color="auto" w:sz="4" w:space="0"/>
            </w:tcBorders>
            <w:shd w:val="clear" w:color="auto" w:fill="auto"/>
            <w:vAlign w:val="center"/>
          </w:tcPr>
          <w:p w14:paraId="20C28694">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实施小微湿地建设，针对赣江中支、赣江南支、三官河河道圩堤内仍存在少量占用河滩地进行私自围堰、私自耕作的行为进行整治，将部分耕地和养殖鱼塘拆除或搬迁，恢复湿地自然状态。同时依据湿地植被生长格局，结合乡村闲置建设用地、造林地块低洼地以及预留的技术坑塘、沟渠等，开展基底修复与地形改造，种植水生植物构成浅滩进行生境改造，因地制宜进行景观提升，结合地形建设生态护坡，补植树种进行景观提升。</w:t>
            </w:r>
          </w:p>
        </w:tc>
        <w:tc>
          <w:tcPr>
            <w:tcW w:w="1418" w:type="dxa"/>
            <w:tcBorders>
              <w:top w:val="nil"/>
              <w:left w:val="nil"/>
              <w:bottom w:val="single" w:color="auto" w:sz="4" w:space="0"/>
              <w:right w:val="single" w:color="auto" w:sz="4" w:space="0"/>
            </w:tcBorders>
            <w:shd w:val="clear" w:color="auto" w:fill="auto"/>
            <w:vAlign w:val="center"/>
          </w:tcPr>
          <w:p w14:paraId="035CAFA8">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南昌县自然资源和规划局</w:t>
            </w:r>
          </w:p>
        </w:tc>
        <w:tc>
          <w:tcPr>
            <w:tcW w:w="1042" w:type="dxa"/>
            <w:tcBorders>
              <w:top w:val="nil"/>
              <w:left w:val="nil"/>
              <w:bottom w:val="single" w:color="auto" w:sz="4" w:space="0"/>
              <w:right w:val="single" w:color="auto" w:sz="4" w:space="0"/>
            </w:tcBorders>
            <w:shd w:val="clear" w:color="auto" w:fill="auto"/>
            <w:vAlign w:val="center"/>
          </w:tcPr>
          <w:p w14:paraId="4B733080">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5000</w:t>
            </w:r>
          </w:p>
        </w:tc>
      </w:tr>
      <w:tr w14:paraId="7BED826E">
        <w:tblPrEx>
          <w:tblCellMar>
            <w:top w:w="0" w:type="dxa"/>
            <w:left w:w="108" w:type="dxa"/>
            <w:bottom w:w="0" w:type="dxa"/>
            <w:right w:w="108" w:type="dxa"/>
          </w:tblCellMar>
        </w:tblPrEx>
        <w:trPr>
          <w:trHeight w:val="900" w:hRule="atLeast"/>
        </w:trPr>
        <w:tc>
          <w:tcPr>
            <w:tcW w:w="1129" w:type="dxa"/>
            <w:vMerge w:val="restart"/>
            <w:tcBorders>
              <w:top w:val="nil"/>
              <w:left w:val="single" w:color="auto" w:sz="4" w:space="0"/>
              <w:bottom w:val="single" w:color="auto" w:sz="4" w:space="0"/>
              <w:right w:val="single" w:color="auto" w:sz="4" w:space="0"/>
            </w:tcBorders>
            <w:shd w:val="clear" w:color="auto" w:fill="auto"/>
            <w:vAlign w:val="center"/>
          </w:tcPr>
          <w:p w14:paraId="5B811DDF">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生物多样性保护工程</w:t>
            </w:r>
          </w:p>
        </w:tc>
        <w:tc>
          <w:tcPr>
            <w:tcW w:w="1843" w:type="dxa"/>
            <w:tcBorders>
              <w:top w:val="nil"/>
              <w:left w:val="nil"/>
              <w:bottom w:val="single" w:color="auto" w:sz="4" w:space="0"/>
              <w:right w:val="single" w:color="auto" w:sz="4" w:space="0"/>
            </w:tcBorders>
            <w:shd w:val="clear" w:color="auto" w:fill="auto"/>
            <w:vAlign w:val="center"/>
          </w:tcPr>
          <w:p w14:paraId="1DDC3BEA">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珍稀特有物种栖息地保护修复项目</w:t>
            </w:r>
          </w:p>
        </w:tc>
        <w:tc>
          <w:tcPr>
            <w:tcW w:w="1418" w:type="dxa"/>
            <w:tcBorders>
              <w:top w:val="nil"/>
              <w:left w:val="nil"/>
              <w:bottom w:val="single" w:color="auto" w:sz="4" w:space="0"/>
              <w:right w:val="single" w:color="auto" w:sz="4" w:space="0"/>
            </w:tcBorders>
            <w:shd w:val="clear" w:color="auto" w:fill="auto"/>
            <w:vAlign w:val="center"/>
          </w:tcPr>
          <w:p w14:paraId="198FE24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南新乡、蒋巷镇、泾口乡、塔城乡</w:t>
            </w:r>
          </w:p>
        </w:tc>
        <w:tc>
          <w:tcPr>
            <w:tcW w:w="6378" w:type="dxa"/>
            <w:tcBorders>
              <w:top w:val="nil"/>
              <w:left w:val="nil"/>
              <w:bottom w:val="single" w:color="auto" w:sz="4" w:space="0"/>
              <w:right w:val="single" w:color="auto" w:sz="4" w:space="0"/>
            </w:tcBorders>
            <w:shd w:val="clear" w:color="auto" w:fill="auto"/>
            <w:vAlign w:val="center"/>
          </w:tcPr>
          <w:p w14:paraId="58C9526C">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建立赣江江豚保护小区，恢复水生生物江湖生态通道，实施沿江湿地生态修复，强化生态保护红线等管控措施，提升区域独特复杂江湖连通生态环境质量。对鄱阳湖（南昌湖区）和赣江下游已遭到破坏的重要水禽分布区、候鸟栖息地和迁徙停歇地、珍稀植物原生地、鱼类重要产卵区、洄游通道及重要渔业水域等关键地区，开展栖息地的恢复，恢复江豚、白鹤等珍稀特有物种栖息地生境。</w:t>
            </w:r>
          </w:p>
        </w:tc>
        <w:tc>
          <w:tcPr>
            <w:tcW w:w="1418" w:type="dxa"/>
            <w:tcBorders>
              <w:top w:val="nil"/>
              <w:left w:val="nil"/>
              <w:bottom w:val="single" w:color="auto" w:sz="4" w:space="0"/>
              <w:right w:val="single" w:color="auto" w:sz="4" w:space="0"/>
            </w:tcBorders>
            <w:shd w:val="clear" w:color="auto" w:fill="auto"/>
            <w:vAlign w:val="center"/>
          </w:tcPr>
          <w:p w14:paraId="54CC6556">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南昌县农业农村局</w:t>
            </w:r>
          </w:p>
        </w:tc>
        <w:tc>
          <w:tcPr>
            <w:tcW w:w="1042" w:type="dxa"/>
            <w:tcBorders>
              <w:top w:val="nil"/>
              <w:left w:val="nil"/>
              <w:bottom w:val="single" w:color="auto" w:sz="4" w:space="0"/>
              <w:right w:val="single" w:color="auto" w:sz="4" w:space="0"/>
            </w:tcBorders>
            <w:shd w:val="clear" w:color="auto" w:fill="auto"/>
            <w:vAlign w:val="center"/>
          </w:tcPr>
          <w:p w14:paraId="22A67D77">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4500</w:t>
            </w:r>
          </w:p>
        </w:tc>
      </w:tr>
      <w:tr w14:paraId="1AC474E3">
        <w:tblPrEx>
          <w:tblCellMar>
            <w:top w:w="0" w:type="dxa"/>
            <w:left w:w="108" w:type="dxa"/>
            <w:bottom w:w="0" w:type="dxa"/>
            <w:right w:w="108" w:type="dxa"/>
          </w:tblCellMar>
        </w:tblPrEx>
        <w:trPr>
          <w:trHeight w:val="675" w:hRule="atLeast"/>
        </w:trPr>
        <w:tc>
          <w:tcPr>
            <w:tcW w:w="1129" w:type="dxa"/>
            <w:vMerge w:val="continue"/>
            <w:tcBorders>
              <w:top w:val="nil"/>
              <w:left w:val="single" w:color="auto" w:sz="4" w:space="0"/>
              <w:bottom w:val="single" w:color="auto" w:sz="4" w:space="0"/>
              <w:right w:val="single" w:color="auto" w:sz="4" w:space="0"/>
            </w:tcBorders>
            <w:vAlign w:val="center"/>
          </w:tcPr>
          <w:p w14:paraId="4A67F826">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72CEE718">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南昌县野生生物资源调查评估项目</w:t>
            </w:r>
          </w:p>
        </w:tc>
        <w:tc>
          <w:tcPr>
            <w:tcW w:w="1418" w:type="dxa"/>
            <w:tcBorders>
              <w:top w:val="nil"/>
              <w:left w:val="nil"/>
              <w:bottom w:val="single" w:color="auto" w:sz="4" w:space="0"/>
              <w:right w:val="single" w:color="auto" w:sz="4" w:space="0"/>
            </w:tcBorders>
            <w:shd w:val="clear" w:color="auto" w:fill="auto"/>
            <w:vAlign w:val="center"/>
          </w:tcPr>
          <w:p w14:paraId="33F35F95">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南新乡、蒋巷镇、泾口乡、塔城乡</w:t>
            </w:r>
          </w:p>
        </w:tc>
        <w:tc>
          <w:tcPr>
            <w:tcW w:w="6378" w:type="dxa"/>
            <w:tcBorders>
              <w:top w:val="nil"/>
              <w:left w:val="nil"/>
              <w:bottom w:val="single" w:color="auto" w:sz="4" w:space="0"/>
              <w:right w:val="single" w:color="auto" w:sz="4" w:space="0"/>
            </w:tcBorders>
            <w:shd w:val="clear" w:color="auto" w:fill="auto"/>
            <w:vAlign w:val="center"/>
          </w:tcPr>
          <w:p w14:paraId="013B668A">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对南昌县典型生态系统、重点物种、重要生物遗传资源开展调查、观测和评估，建立种质资源数据库和信息共享管理系统,提高生物资源的管理和信息交流能力。针对重点保护的珍稀濒危野生动植物种,建立种源繁育中心,保存种质资源,扩大种群数量。</w:t>
            </w:r>
          </w:p>
        </w:tc>
        <w:tc>
          <w:tcPr>
            <w:tcW w:w="1418" w:type="dxa"/>
            <w:tcBorders>
              <w:top w:val="nil"/>
              <w:left w:val="nil"/>
              <w:bottom w:val="single" w:color="auto" w:sz="4" w:space="0"/>
              <w:right w:val="single" w:color="auto" w:sz="4" w:space="0"/>
            </w:tcBorders>
            <w:shd w:val="clear" w:color="auto" w:fill="auto"/>
            <w:vAlign w:val="center"/>
          </w:tcPr>
          <w:p w14:paraId="3CE4831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南昌县自然资源和规划局</w:t>
            </w:r>
          </w:p>
        </w:tc>
        <w:tc>
          <w:tcPr>
            <w:tcW w:w="1042" w:type="dxa"/>
            <w:tcBorders>
              <w:top w:val="nil"/>
              <w:left w:val="nil"/>
              <w:bottom w:val="single" w:color="auto" w:sz="4" w:space="0"/>
              <w:right w:val="single" w:color="auto" w:sz="4" w:space="0"/>
            </w:tcBorders>
            <w:shd w:val="clear" w:color="auto" w:fill="auto"/>
            <w:vAlign w:val="center"/>
          </w:tcPr>
          <w:p w14:paraId="3AAEC52F">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200</w:t>
            </w:r>
          </w:p>
        </w:tc>
      </w:tr>
      <w:tr w14:paraId="3BC1FB83">
        <w:tblPrEx>
          <w:tblCellMar>
            <w:top w:w="0" w:type="dxa"/>
            <w:left w:w="108" w:type="dxa"/>
            <w:bottom w:w="0" w:type="dxa"/>
            <w:right w:w="108" w:type="dxa"/>
          </w:tblCellMar>
        </w:tblPrEx>
        <w:trPr>
          <w:trHeight w:val="675" w:hRule="atLeast"/>
        </w:trPr>
        <w:tc>
          <w:tcPr>
            <w:tcW w:w="1129" w:type="dxa"/>
            <w:vMerge w:val="continue"/>
            <w:tcBorders>
              <w:top w:val="nil"/>
              <w:left w:val="single" w:color="auto" w:sz="4" w:space="0"/>
              <w:bottom w:val="single" w:color="auto" w:sz="4" w:space="0"/>
              <w:right w:val="single" w:color="auto" w:sz="4" w:space="0"/>
            </w:tcBorders>
            <w:vAlign w:val="center"/>
          </w:tcPr>
          <w:p w14:paraId="33B87322">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2357A251">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森林病虫害枯死树木除治项目</w:t>
            </w:r>
          </w:p>
        </w:tc>
        <w:tc>
          <w:tcPr>
            <w:tcW w:w="1418" w:type="dxa"/>
            <w:tcBorders>
              <w:top w:val="nil"/>
              <w:left w:val="nil"/>
              <w:bottom w:val="single" w:color="auto" w:sz="4" w:space="0"/>
              <w:right w:val="single" w:color="auto" w:sz="4" w:space="0"/>
            </w:tcBorders>
            <w:shd w:val="clear" w:color="auto" w:fill="auto"/>
            <w:vAlign w:val="center"/>
          </w:tcPr>
          <w:p w14:paraId="1725388C">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黄马乡、冈上镇、幽兰镇</w:t>
            </w:r>
          </w:p>
        </w:tc>
        <w:tc>
          <w:tcPr>
            <w:tcW w:w="6378" w:type="dxa"/>
            <w:tcBorders>
              <w:top w:val="nil"/>
              <w:left w:val="nil"/>
              <w:bottom w:val="single" w:color="auto" w:sz="4" w:space="0"/>
              <w:right w:val="single" w:color="auto" w:sz="4" w:space="0"/>
            </w:tcBorders>
            <w:shd w:val="clear" w:color="auto" w:fill="auto"/>
            <w:vAlign w:val="center"/>
          </w:tcPr>
          <w:p w14:paraId="0F78DC67">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密切监测松材线虫等重大林业有害生物发生情况，以防控松材线虫病为重点，加大对松材线虫等林业有害生物的检疫防范和防治力度，加大白虎岭、兴农沙漠等重点区域景观松林的保护力度，加强林业有害生物防治基础设施建设，强化森林植物检疫，严防松材线虫等重大林业有害生物入侵。</w:t>
            </w:r>
          </w:p>
        </w:tc>
        <w:tc>
          <w:tcPr>
            <w:tcW w:w="1418" w:type="dxa"/>
            <w:tcBorders>
              <w:top w:val="nil"/>
              <w:left w:val="nil"/>
              <w:bottom w:val="single" w:color="auto" w:sz="4" w:space="0"/>
              <w:right w:val="single" w:color="auto" w:sz="4" w:space="0"/>
            </w:tcBorders>
            <w:shd w:val="clear" w:color="auto" w:fill="auto"/>
            <w:vAlign w:val="center"/>
          </w:tcPr>
          <w:p w14:paraId="62DA85A7">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南昌县自然资源和规划局</w:t>
            </w:r>
          </w:p>
        </w:tc>
        <w:tc>
          <w:tcPr>
            <w:tcW w:w="1042" w:type="dxa"/>
            <w:tcBorders>
              <w:top w:val="nil"/>
              <w:left w:val="nil"/>
              <w:bottom w:val="single" w:color="auto" w:sz="4" w:space="0"/>
              <w:right w:val="single" w:color="auto" w:sz="4" w:space="0"/>
            </w:tcBorders>
            <w:shd w:val="clear" w:color="auto" w:fill="auto"/>
            <w:vAlign w:val="center"/>
          </w:tcPr>
          <w:p w14:paraId="62B455C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3600</w:t>
            </w:r>
          </w:p>
        </w:tc>
      </w:tr>
      <w:tr w14:paraId="0BF933D1">
        <w:tblPrEx>
          <w:tblCellMar>
            <w:top w:w="0" w:type="dxa"/>
            <w:left w:w="108" w:type="dxa"/>
            <w:bottom w:w="0" w:type="dxa"/>
            <w:right w:w="108" w:type="dxa"/>
          </w:tblCellMar>
        </w:tblPrEx>
        <w:trPr>
          <w:trHeight w:val="900" w:hRule="atLeast"/>
        </w:trPr>
        <w:tc>
          <w:tcPr>
            <w:tcW w:w="1129" w:type="dxa"/>
            <w:vMerge w:val="continue"/>
            <w:tcBorders>
              <w:top w:val="nil"/>
              <w:left w:val="single" w:color="auto" w:sz="4" w:space="0"/>
              <w:bottom w:val="single" w:color="auto" w:sz="4" w:space="0"/>
              <w:right w:val="single" w:color="auto" w:sz="4" w:space="0"/>
            </w:tcBorders>
            <w:vAlign w:val="center"/>
          </w:tcPr>
          <w:p w14:paraId="60A3D70B">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2DC3B5F4">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南昌县渔业资源增殖放流项目</w:t>
            </w:r>
          </w:p>
        </w:tc>
        <w:tc>
          <w:tcPr>
            <w:tcW w:w="1418" w:type="dxa"/>
            <w:tcBorders>
              <w:top w:val="nil"/>
              <w:left w:val="nil"/>
              <w:bottom w:val="single" w:color="auto" w:sz="4" w:space="0"/>
              <w:right w:val="single" w:color="auto" w:sz="4" w:space="0"/>
            </w:tcBorders>
            <w:shd w:val="clear" w:color="auto" w:fill="auto"/>
            <w:vAlign w:val="center"/>
          </w:tcPr>
          <w:p w14:paraId="49B92900">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幽兰镇、莲塘镇、塔城乡等乡镇</w:t>
            </w:r>
          </w:p>
        </w:tc>
        <w:tc>
          <w:tcPr>
            <w:tcW w:w="6378" w:type="dxa"/>
            <w:tcBorders>
              <w:top w:val="nil"/>
              <w:left w:val="nil"/>
              <w:bottom w:val="single" w:color="auto" w:sz="4" w:space="0"/>
              <w:right w:val="single" w:color="auto" w:sz="4" w:space="0"/>
            </w:tcBorders>
            <w:shd w:val="clear" w:color="auto" w:fill="auto"/>
            <w:vAlign w:val="center"/>
          </w:tcPr>
          <w:p w14:paraId="54ADF5E6">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在澄碧湖、雁沙湖、雄溪河等流域开展鱼苗生态增殖放流活动，保护湖水的水生动植物资源自然繁殖发展，控制水中水藻的数量，避免水体缺氧、富营养化，形成“以水养鱼、以鱼洁水”的原生态洁水模式，进一步改善和提高城区内湖与赣江抚河水环境质量，进而改善江豚等珍稀水生动物索饵环境。</w:t>
            </w:r>
          </w:p>
        </w:tc>
        <w:tc>
          <w:tcPr>
            <w:tcW w:w="1418" w:type="dxa"/>
            <w:tcBorders>
              <w:top w:val="nil"/>
              <w:left w:val="nil"/>
              <w:bottom w:val="single" w:color="auto" w:sz="4" w:space="0"/>
              <w:right w:val="single" w:color="auto" w:sz="4" w:space="0"/>
            </w:tcBorders>
            <w:shd w:val="clear" w:color="auto" w:fill="auto"/>
            <w:vAlign w:val="center"/>
          </w:tcPr>
          <w:p w14:paraId="61F4EEC1">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南昌县农业农村局</w:t>
            </w:r>
          </w:p>
        </w:tc>
        <w:tc>
          <w:tcPr>
            <w:tcW w:w="1042" w:type="dxa"/>
            <w:tcBorders>
              <w:top w:val="nil"/>
              <w:left w:val="nil"/>
              <w:bottom w:val="single" w:color="auto" w:sz="4" w:space="0"/>
              <w:right w:val="single" w:color="auto" w:sz="4" w:space="0"/>
            </w:tcBorders>
            <w:shd w:val="clear" w:color="auto" w:fill="auto"/>
            <w:vAlign w:val="center"/>
          </w:tcPr>
          <w:p w14:paraId="4A2C5A1D">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450</w:t>
            </w:r>
          </w:p>
        </w:tc>
      </w:tr>
      <w:tr w14:paraId="6F9C8BE2">
        <w:tblPrEx>
          <w:tblCellMar>
            <w:top w:w="0" w:type="dxa"/>
            <w:left w:w="108" w:type="dxa"/>
            <w:bottom w:w="0" w:type="dxa"/>
            <w:right w:w="108" w:type="dxa"/>
          </w:tblCellMar>
        </w:tblPrEx>
        <w:trPr>
          <w:trHeight w:val="900" w:hRule="atLeast"/>
        </w:trPr>
        <w:tc>
          <w:tcPr>
            <w:tcW w:w="1129" w:type="dxa"/>
            <w:vMerge w:val="continue"/>
            <w:tcBorders>
              <w:top w:val="nil"/>
              <w:left w:val="single" w:color="auto" w:sz="4" w:space="0"/>
              <w:bottom w:val="single" w:color="auto" w:sz="4" w:space="0"/>
              <w:right w:val="single" w:color="auto" w:sz="4" w:space="0"/>
            </w:tcBorders>
            <w:vAlign w:val="center"/>
          </w:tcPr>
          <w:p w14:paraId="047241BB">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7C361C93">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外来物种入侵防治项目</w:t>
            </w:r>
          </w:p>
        </w:tc>
        <w:tc>
          <w:tcPr>
            <w:tcW w:w="1418" w:type="dxa"/>
            <w:tcBorders>
              <w:top w:val="nil"/>
              <w:left w:val="nil"/>
              <w:bottom w:val="single" w:color="auto" w:sz="4" w:space="0"/>
              <w:right w:val="single" w:color="auto" w:sz="4" w:space="0"/>
            </w:tcBorders>
            <w:shd w:val="clear" w:color="auto" w:fill="auto"/>
            <w:vAlign w:val="center"/>
          </w:tcPr>
          <w:p w14:paraId="44246BB9">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幽兰镇、莲塘镇、塔城乡等乡镇</w:t>
            </w:r>
          </w:p>
        </w:tc>
        <w:tc>
          <w:tcPr>
            <w:tcW w:w="6378" w:type="dxa"/>
            <w:tcBorders>
              <w:top w:val="nil"/>
              <w:left w:val="nil"/>
              <w:bottom w:val="single" w:color="auto" w:sz="4" w:space="0"/>
              <w:right w:val="single" w:color="auto" w:sz="4" w:space="0"/>
            </w:tcBorders>
            <w:shd w:val="clear" w:color="auto" w:fill="auto"/>
            <w:vAlign w:val="center"/>
          </w:tcPr>
          <w:p w14:paraId="2275F1BF">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开展外来入侵物种普查与生态影响评价，以农作物重大病虫、林草外来有害生物为重点，布设监测站点，组织开展常态化监测。加大生物监管和有害入侵生物的治理力度，对重点区域开展外来入侵物种阻截带建设，采取人工清除和生物防控等治理措施，重点防控凤眼莲、小蓬草、美国白蛾、加拿大一枝黄花、福寿螺等入侵物种，并发布受威胁动植物和外来入侵物种名录。</w:t>
            </w:r>
          </w:p>
        </w:tc>
        <w:tc>
          <w:tcPr>
            <w:tcW w:w="1418" w:type="dxa"/>
            <w:tcBorders>
              <w:top w:val="nil"/>
              <w:left w:val="nil"/>
              <w:bottom w:val="single" w:color="auto" w:sz="4" w:space="0"/>
              <w:right w:val="single" w:color="auto" w:sz="4" w:space="0"/>
            </w:tcBorders>
            <w:shd w:val="clear" w:color="auto" w:fill="auto"/>
            <w:vAlign w:val="center"/>
          </w:tcPr>
          <w:p w14:paraId="624B59FA">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南昌县农业农村局、南昌县自然资源和规划局</w:t>
            </w:r>
          </w:p>
        </w:tc>
        <w:tc>
          <w:tcPr>
            <w:tcW w:w="1042" w:type="dxa"/>
            <w:tcBorders>
              <w:top w:val="nil"/>
              <w:left w:val="nil"/>
              <w:bottom w:val="single" w:color="auto" w:sz="4" w:space="0"/>
              <w:right w:val="single" w:color="auto" w:sz="4" w:space="0"/>
            </w:tcBorders>
            <w:shd w:val="clear" w:color="auto" w:fill="auto"/>
            <w:vAlign w:val="center"/>
          </w:tcPr>
          <w:p w14:paraId="61798926">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3000</w:t>
            </w:r>
          </w:p>
        </w:tc>
      </w:tr>
      <w:tr w14:paraId="0EBC1B91">
        <w:tblPrEx>
          <w:tblCellMar>
            <w:top w:w="0" w:type="dxa"/>
            <w:left w:w="108" w:type="dxa"/>
            <w:bottom w:w="0" w:type="dxa"/>
            <w:right w:w="108" w:type="dxa"/>
          </w:tblCellMar>
        </w:tblPrEx>
        <w:trPr>
          <w:trHeight w:val="675" w:hRule="atLeast"/>
        </w:trPr>
        <w:tc>
          <w:tcPr>
            <w:tcW w:w="1129" w:type="dxa"/>
            <w:vMerge w:val="restart"/>
            <w:tcBorders>
              <w:top w:val="nil"/>
              <w:left w:val="single" w:color="auto" w:sz="4" w:space="0"/>
              <w:bottom w:val="single" w:color="auto" w:sz="4" w:space="0"/>
              <w:right w:val="single" w:color="auto" w:sz="4" w:space="0"/>
            </w:tcBorders>
            <w:shd w:val="clear" w:color="auto" w:fill="auto"/>
            <w:vAlign w:val="center"/>
          </w:tcPr>
          <w:p w14:paraId="52664163">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水环境综合整治与水系连通工程</w:t>
            </w:r>
          </w:p>
        </w:tc>
        <w:tc>
          <w:tcPr>
            <w:tcW w:w="1843" w:type="dxa"/>
            <w:tcBorders>
              <w:top w:val="nil"/>
              <w:left w:val="nil"/>
              <w:bottom w:val="single" w:color="auto" w:sz="4" w:space="0"/>
              <w:right w:val="single" w:color="auto" w:sz="4" w:space="0"/>
            </w:tcBorders>
            <w:shd w:val="clear" w:color="auto" w:fill="auto"/>
            <w:vAlign w:val="center"/>
          </w:tcPr>
          <w:p w14:paraId="4613CED1">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抚河下游尾闾综合整治及河湖水系连通项目</w:t>
            </w:r>
          </w:p>
        </w:tc>
        <w:tc>
          <w:tcPr>
            <w:tcW w:w="1418" w:type="dxa"/>
            <w:tcBorders>
              <w:top w:val="nil"/>
              <w:left w:val="nil"/>
              <w:bottom w:val="single" w:color="auto" w:sz="4" w:space="0"/>
              <w:right w:val="single" w:color="auto" w:sz="4" w:space="0"/>
            </w:tcBorders>
            <w:shd w:val="clear" w:color="auto" w:fill="auto"/>
            <w:vAlign w:val="center"/>
          </w:tcPr>
          <w:p w14:paraId="43011FCF">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蒋巷镇、南新乡、将军洲农场、幽兰镇、塔城乡、泾口乡等</w:t>
            </w:r>
          </w:p>
        </w:tc>
        <w:tc>
          <w:tcPr>
            <w:tcW w:w="6378" w:type="dxa"/>
            <w:tcBorders>
              <w:top w:val="nil"/>
              <w:left w:val="nil"/>
              <w:bottom w:val="single" w:color="auto" w:sz="4" w:space="0"/>
              <w:right w:val="single" w:color="auto" w:sz="4" w:space="0"/>
            </w:tcBorders>
            <w:shd w:val="clear" w:color="auto" w:fill="auto"/>
            <w:vAlign w:val="center"/>
          </w:tcPr>
          <w:p w14:paraId="4B0A781B">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重点对赣江抚河下游尾闾地区开展水环境综合整治，实施清淤疏浚、岸坡整治、水系连通等工程，共计联通水系151km，建设生态岸线9.32km，河道整治192.9km。通过建设生态护坡、治理入侵物种、修复河道等措施，提升水生态环境质量。</w:t>
            </w:r>
          </w:p>
        </w:tc>
        <w:tc>
          <w:tcPr>
            <w:tcW w:w="1418" w:type="dxa"/>
            <w:tcBorders>
              <w:top w:val="nil"/>
              <w:left w:val="nil"/>
              <w:bottom w:val="single" w:color="auto" w:sz="4" w:space="0"/>
              <w:right w:val="single" w:color="auto" w:sz="4" w:space="0"/>
            </w:tcBorders>
            <w:shd w:val="clear" w:color="auto" w:fill="auto"/>
            <w:vAlign w:val="center"/>
          </w:tcPr>
          <w:p w14:paraId="2EFDA551">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南昌市水利局、南昌市交投集团</w:t>
            </w:r>
          </w:p>
        </w:tc>
        <w:tc>
          <w:tcPr>
            <w:tcW w:w="1042" w:type="dxa"/>
            <w:tcBorders>
              <w:top w:val="nil"/>
              <w:left w:val="nil"/>
              <w:bottom w:val="single" w:color="auto" w:sz="4" w:space="0"/>
              <w:right w:val="single" w:color="auto" w:sz="4" w:space="0"/>
            </w:tcBorders>
            <w:shd w:val="clear" w:color="auto" w:fill="auto"/>
            <w:vAlign w:val="center"/>
          </w:tcPr>
          <w:p w14:paraId="20B091AB">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200542</w:t>
            </w:r>
          </w:p>
        </w:tc>
      </w:tr>
      <w:tr w14:paraId="3B8E71F6">
        <w:tblPrEx>
          <w:tblCellMar>
            <w:top w:w="0" w:type="dxa"/>
            <w:left w:w="108" w:type="dxa"/>
            <w:bottom w:w="0" w:type="dxa"/>
            <w:right w:w="108" w:type="dxa"/>
          </w:tblCellMar>
        </w:tblPrEx>
        <w:trPr>
          <w:trHeight w:val="900" w:hRule="atLeast"/>
        </w:trPr>
        <w:tc>
          <w:tcPr>
            <w:tcW w:w="1129" w:type="dxa"/>
            <w:vMerge w:val="continue"/>
            <w:tcBorders>
              <w:top w:val="nil"/>
              <w:left w:val="single" w:color="auto" w:sz="4" w:space="0"/>
              <w:bottom w:val="single" w:color="auto" w:sz="4" w:space="0"/>
              <w:right w:val="single" w:color="auto" w:sz="4" w:space="0"/>
            </w:tcBorders>
            <w:vAlign w:val="center"/>
          </w:tcPr>
          <w:p w14:paraId="54EFDA19">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62FC5D9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象湖片区水系连通活化项目</w:t>
            </w:r>
          </w:p>
        </w:tc>
        <w:tc>
          <w:tcPr>
            <w:tcW w:w="1418" w:type="dxa"/>
            <w:tcBorders>
              <w:top w:val="nil"/>
              <w:left w:val="nil"/>
              <w:bottom w:val="single" w:color="auto" w:sz="4" w:space="0"/>
              <w:right w:val="single" w:color="auto" w:sz="4" w:space="0"/>
            </w:tcBorders>
            <w:shd w:val="clear" w:color="auto" w:fill="auto"/>
            <w:vAlign w:val="center"/>
          </w:tcPr>
          <w:p w14:paraId="704EBAD0">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小蓝经开区、东新乡</w:t>
            </w:r>
          </w:p>
        </w:tc>
        <w:tc>
          <w:tcPr>
            <w:tcW w:w="6378" w:type="dxa"/>
            <w:tcBorders>
              <w:top w:val="nil"/>
              <w:left w:val="nil"/>
              <w:bottom w:val="single" w:color="auto" w:sz="4" w:space="0"/>
              <w:right w:val="single" w:color="auto" w:sz="4" w:space="0"/>
            </w:tcBorders>
            <w:shd w:val="clear" w:color="auto" w:fill="auto"/>
            <w:vAlign w:val="center"/>
          </w:tcPr>
          <w:p w14:paraId="64D8168C">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在象湖地区北部，莲塘河以北、城南护城河以南、赣江与雄溪河之间区域先期建设水系连通活化工程。以赣江作为主要水源,以抚河及三干渠作为水系连通通道及第二水源,利用河渠、闸站和管道等将河、湖、渠等自然水系彼此相连、相互贯通。新建中心渠2.1km（河洲路渠～抚支故道），连通至抚支故道，实施金湖、玉湖连通工程，新建水系连通0.95km。</w:t>
            </w:r>
          </w:p>
        </w:tc>
        <w:tc>
          <w:tcPr>
            <w:tcW w:w="1418" w:type="dxa"/>
            <w:tcBorders>
              <w:top w:val="nil"/>
              <w:left w:val="nil"/>
              <w:bottom w:val="single" w:color="auto" w:sz="4" w:space="0"/>
              <w:right w:val="single" w:color="auto" w:sz="4" w:space="0"/>
            </w:tcBorders>
            <w:shd w:val="clear" w:color="auto" w:fill="auto"/>
            <w:vAlign w:val="center"/>
          </w:tcPr>
          <w:p w14:paraId="597FCDB2">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南昌县城投公司</w:t>
            </w:r>
          </w:p>
        </w:tc>
        <w:tc>
          <w:tcPr>
            <w:tcW w:w="1042" w:type="dxa"/>
            <w:tcBorders>
              <w:top w:val="nil"/>
              <w:left w:val="nil"/>
              <w:bottom w:val="single" w:color="auto" w:sz="4" w:space="0"/>
              <w:right w:val="single" w:color="auto" w:sz="4" w:space="0"/>
            </w:tcBorders>
            <w:shd w:val="clear" w:color="auto" w:fill="auto"/>
            <w:vAlign w:val="center"/>
          </w:tcPr>
          <w:p w14:paraId="4BCD2065">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12000</w:t>
            </w:r>
          </w:p>
        </w:tc>
      </w:tr>
      <w:tr w14:paraId="217091AF">
        <w:tblPrEx>
          <w:tblCellMar>
            <w:top w:w="0" w:type="dxa"/>
            <w:left w:w="108" w:type="dxa"/>
            <w:bottom w:w="0" w:type="dxa"/>
            <w:right w:w="108" w:type="dxa"/>
          </w:tblCellMar>
        </w:tblPrEx>
        <w:trPr>
          <w:trHeight w:val="1575" w:hRule="atLeast"/>
        </w:trPr>
        <w:tc>
          <w:tcPr>
            <w:tcW w:w="1129" w:type="dxa"/>
            <w:vMerge w:val="continue"/>
            <w:tcBorders>
              <w:top w:val="nil"/>
              <w:left w:val="single" w:color="auto" w:sz="4" w:space="0"/>
              <w:bottom w:val="single" w:color="auto" w:sz="4" w:space="0"/>
              <w:right w:val="single" w:color="auto" w:sz="4" w:space="0"/>
            </w:tcBorders>
            <w:vAlign w:val="center"/>
          </w:tcPr>
          <w:p w14:paraId="7EEA22E1">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61745107">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雄溪河综合治理及景观提升项目</w:t>
            </w:r>
          </w:p>
        </w:tc>
        <w:tc>
          <w:tcPr>
            <w:tcW w:w="1418" w:type="dxa"/>
            <w:tcBorders>
              <w:top w:val="nil"/>
              <w:left w:val="nil"/>
              <w:bottom w:val="single" w:color="auto" w:sz="4" w:space="0"/>
              <w:right w:val="single" w:color="auto" w:sz="4" w:space="0"/>
            </w:tcBorders>
            <w:shd w:val="clear" w:color="auto" w:fill="auto"/>
            <w:vAlign w:val="center"/>
          </w:tcPr>
          <w:p w14:paraId="3F626962">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莲塘镇、富山乡</w:t>
            </w:r>
          </w:p>
        </w:tc>
        <w:tc>
          <w:tcPr>
            <w:tcW w:w="6378" w:type="dxa"/>
            <w:tcBorders>
              <w:top w:val="nil"/>
              <w:left w:val="nil"/>
              <w:bottom w:val="single" w:color="auto" w:sz="4" w:space="0"/>
              <w:right w:val="single" w:color="auto" w:sz="4" w:space="0"/>
            </w:tcBorders>
            <w:shd w:val="clear" w:color="auto" w:fill="auto"/>
            <w:vAlign w:val="center"/>
          </w:tcPr>
          <w:p w14:paraId="2D08CC2C">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通过截污、清淤、生物修复、生态护坡、生态缓冲带等工程措施，实现雄溪河的全面治理。以东莲路为界，分别在象湖新城、小蓝经济开发区雄溪河两岸实施截污工程，敷设截污干管，集中处理污水，封堵原雄溪河排污口，在全线完成截污整治工程的基础上，实施雄溪河清淤。在汇仁大道至富山大道的河段投加生物制剂，并在象湖新城（居住主题公园）及江西新龙化纤股份有限公司附近设置人工湿地，加强生物修复。对雄溪河河堤全线进行护坡处理，在岸线及水面配置不同功能的植物群落，沿河岸周边15m建设生态缓冲带。雄溪河综合治理工程实施后，要加强流域范围内重点工业企业的环境监督，建立长效管理机制，持久开展整治违法排污企业的环保专项行动。</w:t>
            </w:r>
          </w:p>
        </w:tc>
        <w:tc>
          <w:tcPr>
            <w:tcW w:w="1418" w:type="dxa"/>
            <w:tcBorders>
              <w:top w:val="nil"/>
              <w:left w:val="nil"/>
              <w:bottom w:val="single" w:color="auto" w:sz="4" w:space="0"/>
              <w:right w:val="single" w:color="auto" w:sz="4" w:space="0"/>
            </w:tcBorders>
            <w:shd w:val="clear" w:color="auto" w:fill="auto"/>
            <w:vAlign w:val="center"/>
          </w:tcPr>
          <w:p w14:paraId="4B8CD233">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南昌县城市建设投资发展有限公司</w:t>
            </w:r>
          </w:p>
        </w:tc>
        <w:tc>
          <w:tcPr>
            <w:tcW w:w="1042" w:type="dxa"/>
            <w:tcBorders>
              <w:top w:val="nil"/>
              <w:left w:val="nil"/>
              <w:bottom w:val="single" w:color="auto" w:sz="4" w:space="0"/>
              <w:right w:val="single" w:color="auto" w:sz="4" w:space="0"/>
            </w:tcBorders>
            <w:shd w:val="clear" w:color="auto" w:fill="auto"/>
            <w:vAlign w:val="center"/>
          </w:tcPr>
          <w:p w14:paraId="32AECA51">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4370</w:t>
            </w:r>
          </w:p>
        </w:tc>
      </w:tr>
      <w:tr w14:paraId="2D199640">
        <w:tblPrEx>
          <w:tblCellMar>
            <w:top w:w="0" w:type="dxa"/>
            <w:left w:w="108" w:type="dxa"/>
            <w:bottom w:w="0" w:type="dxa"/>
            <w:right w:w="108" w:type="dxa"/>
          </w:tblCellMar>
        </w:tblPrEx>
        <w:trPr>
          <w:trHeight w:val="450" w:hRule="atLeast"/>
        </w:trPr>
        <w:tc>
          <w:tcPr>
            <w:tcW w:w="1129" w:type="dxa"/>
            <w:vMerge w:val="continue"/>
            <w:tcBorders>
              <w:top w:val="nil"/>
              <w:left w:val="single" w:color="auto" w:sz="4" w:space="0"/>
              <w:bottom w:val="single" w:color="auto" w:sz="4" w:space="0"/>
              <w:right w:val="single" w:color="auto" w:sz="4" w:space="0"/>
            </w:tcBorders>
            <w:vAlign w:val="center"/>
          </w:tcPr>
          <w:p w14:paraId="2DD1F300">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1CD6EA01">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莲塘河水环境综合整治项目</w:t>
            </w:r>
          </w:p>
        </w:tc>
        <w:tc>
          <w:tcPr>
            <w:tcW w:w="1418" w:type="dxa"/>
            <w:tcBorders>
              <w:top w:val="nil"/>
              <w:left w:val="nil"/>
              <w:bottom w:val="single" w:color="auto" w:sz="4" w:space="0"/>
              <w:right w:val="single" w:color="auto" w:sz="4" w:space="0"/>
            </w:tcBorders>
            <w:shd w:val="clear" w:color="auto" w:fill="auto"/>
            <w:vAlign w:val="center"/>
          </w:tcPr>
          <w:p w14:paraId="4E1ECA5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莲塘镇、八一乡</w:t>
            </w:r>
          </w:p>
        </w:tc>
        <w:tc>
          <w:tcPr>
            <w:tcW w:w="6378" w:type="dxa"/>
            <w:tcBorders>
              <w:top w:val="nil"/>
              <w:left w:val="nil"/>
              <w:bottom w:val="single" w:color="auto" w:sz="4" w:space="0"/>
              <w:right w:val="single" w:color="auto" w:sz="4" w:space="0"/>
            </w:tcBorders>
            <w:shd w:val="clear" w:color="auto" w:fill="auto"/>
            <w:vAlign w:val="center"/>
          </w:tcPr>
          <w:p w14:paraId="7BFB36E8">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对莲塘河（2.6公里）沿线实施绿化景观提升改造、截污及清淤、道路改造、桥梁装饰、沿河建筑立面改造等工程，构建莲塘河全新景观带。</w:t>
            </w:r>
          </w:p>
        </w:tc>
        <w:tc>
          <w:tcPr>
            <w:tcW w:w="1418" w:type="dxa"/>
            <w:tcBorders>
              <w:top w:val="nil"/>
              <w:left w:val="nil"/>
              <w:bottom w:val="single" w:color="auto" w:sz="4" w:space="0"/>
              <w:right w:val="single" w:color="auto" w:sz="4" w:space="0"/>
            </w:tcBorders>
            <w:shd w:val="clear" w:color="auto" w:fill="auto"/>
            <w:vAlign w:val="center"/>
          </w:tcPr>
          <w:p w14:paraId="1D7623D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南昌县水利投资有限公司</w:t>
            </w:r>
          </w:p>
        </w:tc>
        <w:tc>
          <w:tcPr>
            <w:tcW w:w="1042" w:type="dxa"/>
            <w:tcBorders>
              <w:top w:val="nil"/>
              <w:left w:val="nil"/>
              <w:bottom w:val="single" w:color="auto" w:sz="4" w:space="0"/>
              <w:right w:val="single" w:color="auto" w:sz="4" w:space="0"/>
            </w:tcBorders>
            <w:shd w:val="clear" w:color="auto" w:fill="auto"/>
            <w:vAlign w:val="center"/>
          </w:tcPr>
          <w:p w14:paraId="277BF975">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5000</w:t>
            </w:r>
          </w:p>
        </w:tc>
      </w:tr>
      <w:tr w14:paraId="213AD5A5">
        <w:tblPrEx>
          <w:tblCellMar>
            <w:top w:w="0" w:type="dxa"/>
            <w:left w:w="108" w:type="dxa"/>
            <w:bottom w:w="0" w:type="dxa"/>
            <w:right w:w="108" w:type="dxa"/>
          </w:tblCellMar>
        </w:tblPrEx>
        <w:trPr>
          <w:trHeight w:val="900" w:hRule="atLeast"/>
        </w:trPr>
        <w:tc>
          <w:tcPr>
            <w:tcW w:w="1129" w:type="dxa"/>
            <w:vMerge w:val="continue"/>
            <w:tcBorders>
              <w:top w:val="nil"/>
              <w:left w:val="single" w:color="auto" w:sz="4" w:space="0"/>
              <w:bottom w:val="single" w:color="auto" w:sz="4" w:space="0"/>
              <w:right w:val="single" w:color="auto" w:sz="4" w:space="0"/>
            </w:tcBorders>
            <w:vAlign w:val="center"/>
          </w:tcPr>
          <w:p w14:paraId="118C101F">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16305362">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象湖及抚河故道生态修复项目</w:t>
            </w:r>
          </w:p>
        </w:tc>
        <w:tc>
          <w:tcPr>
            <w:tcW w:w="1418" w:type="dxa"/>
            <w:tcBorders>
              <w:top w:val="nil"/>
              <w:left w:val="nil"/>
              <w:bottom w:val="single" w:color="auto" w:sz="4" w:space="0"/>
              <w:right w:val="single" w:color="auto" w:sz="4" w:space="0"/>
            </w:tcBorders>
            <w:shd w:val="clear" w:color="auto" w:fill="auto"/>
            <w:vAlign w:val="center"/>
          </w:tcPr>
          <w:p w14:paraId="422FF391">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小蓝经开区、东新乡</w:t>
            </w:r>
          </w:p>
        </w:tc>
        <w:tc>
          <w:tcPr>
            <w:tcW w:w="6378" w:type="dxa"/>
            <w:tcBorders>
              <w:top w:val="nil"/>
              <w:left w:val="nil"/>
              <w:bottom w:val="single" w:color="auto" w:sz="4" w:space="0"/>
              <w:right w:val="single" w:color="auto" w:sz="4" w:space="0"/>
            </w:tcBorders>
            <w:shd w:val="clear" w:color="auto" w:fill="auto"/>
            <w:vAlign w:val="center"/>
          </w:tcPr>
          <w:p w14:paraId="3AE30D17">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采取清理整治、堤岸修复、植被修补、蓄水透水、水源保护五项措施，对象湖及抚河故道水体进行内源治理，将威胁水安全的码头、搅拌站、砂场彻底清除，并充分利用沿江滩涂、防洪堤等现状用地，结合地形地貌改造成滨水生态公园，形成集旅游休闲、生态文化于一体的“公园式自然走廊”，实现水质提升和水生态系统修复。</w:t>
            </w:r>
          </w:p>
        </w:tc>
        <w:tc>
          <w:tcPr>
            <w:tcW w:w="1418" w:type="dxa"/>
            <w:tcBorders>
              <w:top w:val="nil"/>
              <w:left w:val="nil"/>
              <w:bottom w:val="single" w:color="auto" w:sz="4" w:space="0"/>
              <w:right w:val="single" w:color="auto" w:sz="4" w:space="0"/>
            </w:tcBorders>
            <w:shd w:val="clear" w:color="auto" w:fill="auto"/>
            <w:vAlign w:val="center"/>
          </w:tcPr>
          <w:p w14:paraId="4E75B666">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南昌县水利局</w:t>
            </w:r>
          </w:p>
        </w:tc>
        <w:tc>
          <w:tcPr>
            <w:tcW w:w="1042" w:type="dxa"/>
            <w:tcBorders>
              <w:top w:val="nil"/>
              <w:left w:val="nil"/>
              <w:bottom w:val="single" w:color="auto" w:sz="4" w:space="0"/>
              <w:right w:val="single" w:color="auto" w:sz="4" w:space="0"/>
            </w:tcBorders>
            <w:shd w:val="clear" w:color="auto" w:fill="auto"/>
            <w:vAlign w:val="center"/>
          </w:tcPr>
          <w:p w14:paraId="21B48166">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4875</w:t>
            </w:r>
          </w:p>
        </w:tc>
      </w:tr>
      <w:tr w14:paraId="207C133C">
        <w:tblPrEx>
          <w:tblCellMar>
            <w:top w:w="0" w:type="dxa"/>
            <w:left w:w="108" w:type="dxa"/>
            <w:bottom w:w="0" w:type="dxa"/>
            <w:right w:w="108" w:type="dxa"/>
          </w:tblCellMar>
        </w:tblPrEx>
        <w:trPr>
          <w:trHeight w:val="675" w:hRule="atLeast"/>
        </w:trPr>
        <w:tc>
          <w:tcPr>
            <w:tcW w:w="1129" w:type="dxa"/>
            <w:vMerge w:val="continue"/>
            <w:tcBorders>
              <w:top w:val="nil"/>
              <w:left w:val="single" w:color="auto" w:sz="4" w:space="0"/>
              <w:bottom w:val="single" w:color="auto" w:sz="4" w:space="0"/>
              <w:right w:val="single" w:color="auto" w:sz="4" w:space="0"/>
            </w:tcBorders>
            <w:vAlign w:val="center"/>
          </w:tcPr>
          <w:p w14:paraId="41C64BA1">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8CC0AC3">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南昌县幽兰镇落城湖水生态修复项目</w:t>
            </w:r>
          </w:p>
        </w:tc>
        <w:tc>
          <w:tcPr>
            <w:tcW w:w="1418" w:type="dxa"/>
            <w:tcBorders>
              <w:top w:val="nil"/>
              <w:left w:val="nil"/>
              <w:bottom w:val="single" w:color="auto" w:sz="4" w:space="0"/>
              <w:right w:val="single" w:color="auto" w:sz="4" w:space="0"/>
            </w:tcBorders>
            <w:shd w:val="clear" w:color="auto" w:fill="auto"/>
            <w:vAlign w:val="center"/>
          </w:tcPr>
          <w:p w14:paraId="2C0D04F9">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幽兰镇</w:t>
            </w:r>
          </w:p>
        </w:tc>
        <w:tc>
          <w:tcPr>
            <w:tcW w:w="6378" w:type="dxa"/>
            <w:tcBorders>
              <w:top w:val="nil"/>
              <w:left w:val="nil"/>
              <w:bottom w:val="single" w:color="auto" w:sz="4" w:space="0"/>
              <w:right w:val="single" w:color="auto" w:sz="4" w:space="0"/>
            </w:tcBorders>
            <w:shd w:val="clear" w:color="auto" w:fill="auto"/>
            <w:vAlign w:val="center"/>
          </w:tcPr>
          <w:p w14:paraId="16D0552E">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对落城湖约1200亩水面、周边岸线腹地约200-300米左右，开展清淤、截污、生态修复。实施入库污染负荷调查和评估，利用生态工程技术，最大限度地截除外源污染，构建健康水生态系统，提高水体自净能力，建立落城湖水质管理和生态保育体系。</w:t>
            </w:r>
          </w:p>
        </w:tc>
        <w:tc>
          <w:tcPr>
            <w:tcW w:w="1418" w:type="dxa"/>
            <w:tcBorders>
              <w:top w:val="nil"/>
              <w:left w:val="nil"/>
              <w:bottom w:val="single" w:color="auto" w:sz="4" w:space="0"/>
              <w:right w:val="single" w:color="auto" w:sz="4" w:space="0"/>
            </w:tcBorders>
            <w:shd w:val="clear" w:color="auto" w:fill="auto"/>
            <w:vAlign w:val="center"/>
          </w:tcPr>
          <w:p w14:paraId="0A816C1B">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南昌县水利局</w:t>
            </w:r>
          </w:p>
        </w:tc>
        <w:tc>
          <w:tcPr>
            <w:tcW w:w="1042" w:type="dxa"/>
            <w:tcBorders>
              <w:top w:val="nil"/>
              <w:left w:val="nil"/>
              <w:bottom w:val="single" w:color="auto" w:sz="4" w:space="0"/>
              <w:right w:val="single" w:color="auto" w:sz="4" w:space="0"/>
            </w:tcBorders>
            <w:shd w:val="clear" w:color="auto" w:fill="auto"/>
            <w:vAlign w:val="center"/>
          </w:tcPr>
          <w:p w14:paraId="4C95CF55">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40000</w:t>
            </w:r>
          </w:p>
        </w:tc>
      </w:tr>
      <w:tr w14:paraId="27F7B466">
        <w:tblPrEx>
          <w:tblCellMar>
            <w:top w:w="0" w:type="dxa"/>
            <w:left w:w="108" w:type="dxa"/>
            <w:bottom w:w="0" w:type="dxa"/>
            <w:right w:w="108" w:type="dxa"/>
          </w:tblCellMar>
        </w:tblPrEx>
        <w:trPr>
          <w:trHeight w:val="915" w:hRule="atLeast"/>
        </w:trPr>
        <w:tc>
          <w:tcPr>
            <w:tcW w:w="1129" w:type="dxa"/>
            <w:vMerge w:val="continue"/>
            <w:tcBorders>
              <w:top w:val="nil"/>
              <w:left w:val="single" w:color="auto" w:sz="4" w:space="0"/>
              <w:bottom w:val="single" w:color="auto" w:sz="4" w:space="0"/>
              <w:right w:val="single" w:color="auto" w:sz="4" w:space="0"/>
            </w:tcBorders>
            <w:vAlign w:val="center"/>
          </w:tcPr>
          <w:p w14:paraId="77505CD1">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6678BC5F">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南昌县农村水系综合整治项目</w:t>
            </w:r>
          </w:p>
        </w:tc>
        <w:tc>
          <w:tcPr>
            <w:tcW w:w="1418" w:type="dxa"/>
            <w:tcBorders>
              <w:top w:val="nil"/>
              <w:left w:val="nil"/>
              <w:bottom w:val="single" w:color="auto" w:sz="4" w:space="0"/>
              <w:right w:val="single" w:color="auto" w:sz="4" w:space="0"/>
            </w:tcBorders>
            <w:shd w:val="clear" w:color="auto" w:fill="auto"/>
            <w:vAlign w:val="center"/>
          </w:tcPr>
          <w:p w14:paraId="03516E2D">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蒋巷镇、向塘镇、广福镇、莲塘镇、武阳镇、黄马乡、塔城乡等</w:t>
            </w:r>
          </w:p>
        </w:tc>
        <w:tc>
          <w:tcPr>
            <w:tcW w:w="6378" w:type="dxa"/>
            <w:tcBorders>
              <w:top w:val="nil"/>
              <w:left w:val="nil"/>
              <w:bottom w:val="single" w:color="auto" w:sz="4" w:space="0"/>
              <w:right w:val="single" w:color="auto" w:sz="4" w:space="0"/>
            </w:tcBorders>
            <w:shd w:val="clear" w:color="auto" w:fill="auto"/>
            <w:vAlign w:val="center"/>
          </w:tcPr>
          <w:p w14:paraId="07065CD9">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对全县农村中小河流开展综合治理及景观提升，消除南昌县杨树村、文埠村等农村黑臭水体，治理流域面积200km</w:t>
            </w:r>
            <w:r>
              <w:rPr>
                <w:rFonts w:hint="eastAsia" w:ascii="等线" w:hAnsi="等线" w:eastAsia="等线" w:cs="宋体"/>
                <w:color w:val="000000"/>
                <w:kern w:val="0"/>
                <w:sz w:val="18"/>
                <w:szCs w:val="18"/>
              </w:rPr>
              <w:t>²</w:t>
            </w:r>
            <w:r>
              <w:rPr>
                <w:rFonts w:hint="eastAsia" w:hAnsi="等线" w:cs="宋体"/>
                <w:color w:val="000000"/>
                <w:kern w:val="0"/>
                <w:sz w:val="18"/>
                <w:szCs w:val="18"/>
              </w:rPr>
              <w:t>以下河流，治理区涉及乡镇19个，共计治理河道665km。加强农村水系连通，整治清丰山左堤涝区、三江联圩涝区、中洲联圩涝区、棠墅友谊涝区、南新联圩涝区、长乐联圩涝区等6处涝区。</w:t>
            </w:r>
          </w:p>
        </w:tc>
        <w:tc>
          <w:tcPr>
            <w:tcW w:w="1418" w:type="dxa"/>
            <w:tcBorders>
              <w:top w:val="nil"/>
              <w:left w:val="nil"/>
              <w:bottom w:val="single" w:color="auto" w:sz="4" w:space="0"/>
              <w:right w:val="single" w:color="auto" w:sz="4" w:space="0"/>
            </w:tcBorders>
            <w:shd w:val="clear" w:color="auto" w:fill="auto"/>
            <w:vAlign w:val="center"/>
          </w:tcPr>
          <w:p w14:paraId="35567AE1">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南昌县水利局</w:t>
            </w:r>
          </w:p>
        </w:tc>
        <w:tc>
          <w:tcPr>
            <w:tcW w:w="1042" w:type="dxa"/>
            <w:tcBorders>
              <w:top w:val="nil"/>
              <w:left w:val="nil"/>
              <w:bottom w:val="single" w:color="auto" w:sz="4" w:space="0"/>
              <w:right w:val="single" w:color="auto" w:sz="4" w:space="0"/>
            </w:tcBorders>
            <w:shd w:val="clear" w:color="auto" w:fill="auto"/>
            <w:vAlign w:val="center"/>
          </w:tcPr>
          <w:p w14:paraId="7D275A37">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57000</w:t>
            </w:r>
          </w:p>
        </w:tc>
      </w:tr>
      <w:tr w14:paraId="79524094">
        <w:tblPrEx>
          <w:tblCellMar>
            <w:top w:w="0" w:type="dxa"/>
            <w:left w:w="108" w:type="dxa"/>
            <w:bottom w:w="0" w:type="dxa"/>
            <w:right w:w="108" w:type="dxa"/>
          </w:tblCellMar>
        </w:tblPrEx>
        <w:trPr>
          <w:trHeight w:val="1140" w:hRule="atLeast"/>
        </w:trPr>
        <w:tc>
          <w:tcPr>
            <w:tcW w:w="1129" w:type="dxa"/>
            <w:vMerge w:val="continue"/>
            <w:tcBorders>
              <w:top w:val="nil"/>
              <w:left w:val="single" w:color="auto" w:sz="4" w:space="0"/>
              <w:bottom w:val="single" w:color="auto" w:sz="4" w:space="0"/>
              <w:right w:val="single" w:color="auto" w:sz="4" w:space="0"/>
            </w:tcBorders>
            <w:vAlign w:val="center"/>
          </w:tcPr>
          <w:p w14:paraId="5EE17A45">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2E3C38C2">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南昌县水土流失综合治理项目</w:t>
            </w:r>
          </w:p>
        </w:tc>
        <w:tc>
          <w:tcPr>
            <w:tcW w:w="1418" w:type="dxa"/>
            <w:tcBorders>
              <w:top w:val="nil"/>
              <w:left w:val="nil"/>
              <w:bottom w:val="single" w:color="auto" w:sz="4" w:space="0"/>
              <w:right w:val="single" w:color="auto" w:sz="4" w:space="0"/>
            </w:tcBorders>
            <w:shd w:val="clear" w:color="auto" w:fill="auto"/>
            <w:vAlign w:val="center"/>
          </w:tcPr>
          <w:p w14:paraId="57517933">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冈上镇、黄马乡、塔城乡</w:t>
            </w:r>
          </w:p>
        </w:tc>
        <w:tc>
          <w:tcPr>
            <w:tcW w:w="6378" w:type="dxa"/>
            <w:tcBorders>
              <w:top w:val="nil"/>
              <w:left w:val="nil"/>
              <w:bottom w:val="single" w:color="auto" w:sz="4" w:space="0"/>
              <w:right w:val="single" w:color="auto" w:sz="4" w:space="0"/>
            </w:tcBorders>
            <w:shd w:val="clear" w:color="auto" w:fill="auto"/>
            <w:vAlign w:val="center"/>
          </w:tcPr>
          <w:p w14:paraId="188BCF40">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增强森林涵养水源、保持水土的生态功能，对重要生态功能区、生态敏感区、森林公园、自然保护区和水土流失治理区的疏林、幼林、灌木林实施封禁治理，发挥生态自我修复的能力。针对林分结构单一的部分林地，依照水土保持林和水源涵养林的建设要求，采取针叶林补植阔叶树种，疏林地补植补造、竹林改造等措施，改善林分状况，提高森林质量。开展“四型”生态小流域和沙地治理，综合治理水土流失面积8km</w:t>
            </w:r>
            <w:r>
              <w:rPr>
                <w:rFonts w:ascii="Calibri" w:hAnsi="Calibri" w:cs="Calibri"/>
                <w:color w:val="000000"/>
                <w:kern w:val="0"/>
                <w:sz w:val="18"/>
                <w:szCs w:val="18"/>
              </w:rPr>
              <w:t>²</w:t>
            </w:r>
            <w:r>
              <w:rPr>
                <w:rFonts w:hint="eastAsia" w:hAnsi="等线" w:cs="宋体"/>
                <w:color w:val="000000"/>
                <w:kern w:val="0"/>
                <w:sz w:val="18"/>
                <w:szCs w:val="18"/>
              </w:rPr>
              <w:t>，预防保护水土流失面积79.66km</w:t>
            </w:r>
            <w:r>
              <w:rPr>
                <w:rFonts w:ascii="Calibri" w:hAnsi="Calibri" w:cs="Calibri"/>
                <w:color w:val="000000"/>
                <w:kern w:val="0"/>
                <w:sz w:val="18"/>
                <w:szCs w:val="18"/>
              </w:rPr>
              <w:t>²</w:t>
            </w:r>
            <w:r>
              <w:rPr>
                <w:rFonts w:hint="eastAsia" w:hAnsi="等线" w:cs="宋体"/>
                <w:color w:val="000000"/>
                <w:kern w:val="0"/>
                <w:sz w:val="18"/>
                <w:szCs w:val="18"/>
              </w:rPr>
              <w:t>。</w:t>
            </w:r>
          </w:p>
        </w:tc>
        <w:tc>
          <w:tcPr>
            <w:tcW w:w="1418" w:type="dxa"/>
            <w:tcBorders>
              <w:top w:val="nil"/>
              <w:left w:val="nil"/>
              <w:bottom w:val="single" w:color="auto" w:sz="4" w:space="0"/>
              <w:right w:val="single" w:color="auto" w:sz="4" w:space="0"/>
            </w:tcBorders>
            <w:shd w:val="clear" w:color="auto" w:fill="auto"/>
            <w:vAlign w:val="center"/>
          </w:tcPr>
          <w:p w14:paraId="7FEC0F89">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南昌县水利局</w:t>
            </w:r>
          </w:p>
        </w:tc>
        <w:tc>
          <w:tcPr>
            <w:tcW w:w="1042" w:type="dxa"/>
            <w:tcBorders>
              <w:top w:val="nil"/>
              <w:left w:val="nil"/>
              <w:bottom w:val="single" w:color="auto" w:sz="4" w:space="0"/>
              <w:right w:val="single" w:color="auto" w:sz="4" w:space="0"/>
            </w:tcBorders>
            <w:shd w:val="clear" w:color="auto" w:fill="auto"/>
            <w:vAlign w:val="center"/>
          </w:tcPr>
          <w:p w14:paraId="212BFEF3">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2000</w:t>
            </w:r>
          </w:p>
        </w:tc>
      </w:tr>
      <w:tr w14:paraId="70BC7CE9">
        <w:tblPrEx>
          <w:tblCellMar>
            <w:top w:w="0" w:type="dxa"/>
            <w:left w:w="108" w:type="dxa"/>
            <w:bottom w:w="0" w:type="dxa"/>
            <w:right w:w="108" w:type="dxa"/>
          </w:tblCellMar>
        </w:tblPrEx>
        <w:trPr>
          <w:trHeight w:val="1575" w:hRule="atLeast"/>
        </w:trPr>
        <w:tc>
          <w:tcPr>
            <w:tcW w:w="1129" w:type="dxa"/>
            <w:vMerge w:val="continue"/>
            <w:tcBorders>
              <w:top w:val="nil"/>
              <w:left w:val="single" w:color="auto" w:sz="4" w:space="0"/>
              <w:bottom w:val="single" w:color="auto" w:sz="4" w:space="0"/>
              <w:right w:val="single" w:color="auto" w:sz="4" w:space="0"/>
            </w:tcBorders>
            <w:vAlign w:val="center"/>
          </w:tcPr>
          <w:p w14:paraId="2CD9F675">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2112EBED">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南昌县集中式饮用水水源地达标建设项目</w:t>
            </w:r>
          </w:p>
        </w:tc>
        <w:tc>
          <w:tcPr>
            <w:tcW w:w="1418" w:type="dxa"/>
            <w:tcBorders>
              <w:top w:val="nil"/>
              <w:left w:val="nil"/>
              <w:bottom w:val="single" w:color="auto" w:sz="4" w:space="0"/>
              <w:right w:val="single" w:color="auto" w:sz="4" w:space="0"/>
            </w:tcBorders>
            <w:shd w:val="clear" w:color="auto" w:fill="auto"/>
            <w:vAlign w:val="center"/>
          </w:tcPr>
          <w:p w14:paraId="1C4A6EEA">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冈上镇、南新乡、黄马乡、向塘镇等</w:t>
            </w:r>
          </w:p>
        </w:tc>
        <w:tc>
          <w:tcPr>
            <w:tcW w:w="6378" w:type="dxa"/>
            <w:tcBorders>
              <w:top w:val="nil"/>
              <w:left w:val="nil"/>
              <w:bottom w:val="single" w:color="auto" w:sz="4" w:space="0"/>
              <w:right w:val="single" w:color="auto" w:sz="4" w:space="0"/>
            </w:tcBorders>
            <w:shd w:val="clear" w:color="auto" w:fill="auto"/>
            <w:vAlign w:val="center"/>
          </w:tcPr>
          <w:p w14:paraId="1E62A0D1">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对赣江冈上镇长湖村河流型水源地、赣江中支南新乡黄渡村河流型水源地、赣江中支南新乡周家村河流型水源地保护区以及11个农村乡镇及以下集中式饮用水源保护区实施生态保护项目，在一级保护区的河道沿线建立隔离栅栏，实现全河段封闭管理，禁止钓鱼、游泳、洗衣、洗菜等与水源保护无关的人为活动干扰，对原住民产生的生活污水进行截污、收集引至保护区外处理后达标外排。加强对上游采砂活动的监管，加强日常水质监测，对饮用水水源地每个季度开展常规指标水质监测，每两年在取水口开展一次全指标水质监测分析。设置多样化植被隔离带和缓冲带,减少湖库周围的水土流失,种植适宜的水生植物、放养合适的水生动物,完善湖库内生态系统结构。</w:t>
            </w:r>
          </w:p>
        </w:tc>
        <w:tc>
          <w:tcPr>
            <w:tcW w:w="1418" w:type="dxa"/>
            <w:tcBorders>
              <w:top w:val="nil"/>
              <w:left w:val="nil"/>
              <w:bottom w:val="single" w:color="auto" w:sz="4" w:space="0"/>
              <w:right w:val="single" w:color="auto" w:sz="4" w:space="0"/>
            </w:tcBorders>
            <w:shd w:val="clear" w:color="auto" w:fill="auto"/>
            <w:vAlign w:val="center"/>
          </w:tcPr>
          <w:p w14:paraId="56F4DDE2">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南昌县水利局</w:t>
            </w:r>
          </w:p>
        </w:tc>
        <w:tc>
          <w:tcPr>
            <w:tcW w:w="1042" w:type="dxa"/>
            <w:tcBorders>
              <w:top w:val="nil"/>
              <w:left w:val="nil"/>
              <w:bottom w:val="single" w:color="auto" w:sz="4" w:space="0"/>
              <w:right w:val="single" w:color="auto" w:sz="4" w:space="0"/>
            </w:tcBorders>
            <w:shd w:val="clear" w:color="auto" w:fill="auto"/>
            <w:vAlign w:val="center"/>
          </w:tcPr>
          <w:p w14:paraId="5A0A0E64">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4000</w:t>
            </w:r>
          </w:p>
        </w:tc>
      </w:tr>
      <w:tr w14:paraId="1BF01705">
        <w:tblPrEx>
          <w:tblCellMar>
            <w:top w:w="0" w:type="dxa"/>
            <w:left w:w="108" w:type="dxa"/>
            <w:bottom w:w="0" w:type="dxa"/>
            <w:right w:w="108" w:type="dxa"/>
          </w:tblCellMar>
        </w:tblPrEx>
        <w:trPr>
          <w:trHeight w:val="900" w:hRule="atLeast"/>
        </w:trPr>
        <w:tc>
          <w:tcPr>
            <w:tcW w:w="1129" w:type="dxa"/>
            <w:vMerge w:val="restart"/>
            <w:tcBorders>
              <w:top w:val="nil"/>
              <w:left w:val="single" w:color="auto" w:sz="4" w:space="0"/>
              <w:bottom w:val="single" w:color="auto" w:sz="4" w:space="0"/>
              <w:right w:val="single" w:color="auto" w:sz="4" w:space="0"/>
            </w:tcBorders>
            <w:shd w:val="clear" w:color="auto" w:fill="auto"/>
            <w:vAlign w:val="center"/>
          </w:tcPr>
          <w:p w14:paraId="75B1B51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森林资源保护与质量提升工程</w:t>
            </w:r>
          </w:p>
        </w:tc>
        <w:tc>
          <w:tcPr>
            <w:tcW w:w="1843" w:type="dxa"/>
            <w:tcBorders>
              <w:top w:val="nil"/>
              <w:left w:val="nil"/>
              <w:bottom w:val="single" w:color="auto" w:sz="4" w:space="0"/>
              <w:right w:val="single" w:color="auto" w:sz="4" w:space="0"/>
            </w:tcBorders>
            <w:shd w:val="clear" w:color="auto" w:fill="auto"/>
            <w:vAlign w:val="center"/>
          </w:tcPr>
          <w:p w14:paraId="11BCE906">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白虎岭森林提升项目</w:t>
            </w:r>
          </w:p>
        </w:tc>
        <w:tc>
          <w:tcPr>
            <w:tcW w:w="1418" w:type="dxa"/>
            <w:tcBorders>
              <w:top w:val="nil"/>
              <w:left w:val="nil"/>
              <w:bottom w:val="single" w:color="auto" w:sz="4" w:space="0"/>
              <w:right w:val="single" w:color="auto" w:sz="4" w:space="0"/>
            </w:tcBorders>
            <w:shd w:val="clear" w:color="auto" w:fill="auto"/>
            <w:vAlign w:val="center"/>
          </w:tcPr>
          <w:p w14:paraId="4C88BF10">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三江镇、黄马乡</w:t>
            </w:r>
          </w:p>
        </w:tc>
        <w:tc>
          <w:tcPr>
            <w:tcW w:w="6378" w:type="dxa"/>
            <w:tcBorders>
              <w:top w:val="nil"/>
              <w:left w:val="nil"/>
              <w:bottom w:val="single" w:color="auto" w:sz="4" w:space="0"/>
              <w:right w:val="single" w:color="auto" w:sz="4" w:space="0"/>
            </w:tcBorders>
            <w:shd w:val="clear" w:color="auto" w:fill="auto"/>
            <w:vAlign w:val="center"/>
          </w:tcPr>
          <w:p w14:paraId="1AA9453A">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在林地资源集中区开展森林提升工程，加强白虎岭森林资源培育力度。强化天然林保护和抚育,健全和落实天然林管护体系，大力建设生态公益林，强化优质天然林、混交林以及阔叶林的保护，选择人工针阔混交林进行改造保护森林资源，严禁破坏自然保护区核心区公益林，维护白虎岭区域生态平衡。</w:t>
            </w:r>
          </w:p>
        </w:tc>
        <w:tc>
          <w:tcPr>
            <w:tcW w:w="1418" w:type="dxa"/>
            <w:tcBorders>
              <w:top w:val="nil"/>
              <w:left w:val="nil"/>
              <w:bottom w:val="single" w:color="auto" w:sz="4" w:space="0"/>
              <w:right w:val="single" w:color="auto" w:sz="4" w:space="0"/>
            </w:tcBorders>
            <w:shd w:val="clear" w:color="auto" w:fill="auto"/>
            <w:vAlign w:val="center"/>
          </w:tcPr>
          <w:p w14:paraId="78AF2A71">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南昌县自然资源和规划局</w:t>
            </w:r>
          </w:p>
        </w:tc>
        <w:tc>
          <w:tcPr>
            <w:tcW w:w="1042" w:type="dxa"/>
            <w:tcBorders>
              <w:top w:val="nil"/>
              <w:left w:val="nil"/>
              <w:bottom w:val="single" w:color="auto" w:sz="4" w:space="0"/>
              <w:right w:val="single" w:color="auto" w:sz="4" w:space="0"/>
            </w:tcBorders>
            <w:shd w:val="clear" w:color="auto" w:fill="auto"/>
            <w:vAlign w:val="center"/>
          </w:tcPr>
          <w:p w14:paraId="09A0421B">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426</w:t>
            </w:r>
          </w:p>
        </w:tc>
      </w:tr>
      <w:tr w14:paraId="78699305">
        <w:tblPrEx>
          <w:tblCellMar>
            <w:top w:w="0" w:type="dxa"/>
            <w:left w:w="108" w:type="dxa"/>
            <w:bottom w:w="0" w:type="dxa"/>
            <w:right w:w="108" w:type="dxa"/>
          </w:tblCellMar>
        </w:tblPrEx>
        <w:trPr>
          <w:trHeight w:val="900" w:hRule="atLeast"/>
        </w:trPr>
        <w:tc>
          <w:tcPr>
            <w:tcW w:w="1129" w:type="dxa"/>
            <w:vMerge w:val="continue"/>
            <w:tcBorders>
              <w:top w:val="nil"/>
              <w:left w:val="single" w:color="auto" w:sz="4" w:space="0"/>
              <w:bottom w:val="single" w:color="auto" w:sz="4" w:space="0"/>
              <w:right w:val="single" w:color="auto" w:sz="4" w:space="0"/>
            </w:tcBorders>
            <w:vAlign w:val="center"/>
          </w:tcPr>
          <w:p w14:paraId="53402877">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20E27EA4">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森林创建项目</w:t>
            </w:r>
          </w:p>
        </w:tc>
        <w:tc>
          <w:tcPr>
            <w:tcW w:w="1418" w:type="dxa"/>
            <w:tcBorders>
              <w:top w:val="nil"/>
              <w:left w:val="nil"/>
              <w:bottom w:val="single" w:color="auto" w:sz="4" w:space="0"/>
              <w:right w:val="single" w:color="auto" w:sz="4" w:space="0"/>
            </w:tcBorders>
            <w:shd w:val="clear" w:color="auto" w:fill="auto"/>
            <w:vAlign w:val="center"/>
          </w:tcPr>
          <w:p w14:paraId="588ADA4F">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向塘镇、三江镇、南新乡、蒋巷镇等</w:t>
            </w:r>
          </w:p>
        </w:tc>
        <w:tc>
          <w:tcPr>
            <w:tcW w:w="6378" w:type="dxa"/>
            <w:tcBorders>
              <w:top w:val="nil"/>
              <w:left w:val="nil"/>
              <w:bottom w:val="single" w:color="auto" w:sz="4" w:space="0"/>
              <w:right w:val="single" w:color="auto" w:sz="4" w:space="0"/>
            </w:tcBorders>
            <w:shd w:val="clear" w:color="auto" w:fill="auto"/>
            <w:vAlign w:val="center"/>
          </w:tcPr>
          <w:p w14:paraId="31139642">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对乡镇主要通道进行森林抚育，重点对昌万公路、蒋巷中心公路、南新中心公路、幽兰连接线、蓝园大道、新莲塔线等主要道路两侧苗木加强管护。对村域内的道路、庭院、房前屋后、闲路地、水塘周边实现绿化全覆盖，营造村庄绿色生态系统，重点建设村庄绿地公园，突出生态效益和景观效果，形成“一村一品”各具特色的生态文明村。</w:t>
            </w:r>
          </w:p>
        </w:tc>
        <w:tc>
          <w:tcPr>
            <w:tcW w:w="1418" w:type="dxa"/>
            <w:tcBorders>
              <w:top w:val="nil"/>
              <w:left w:val="nil"/>
              <w:bottom w:val="single" w:color="auto" w:sz="4" w:space="0"/>
              <w:right w:val="single" w:color="auto" w:sz="4" w:space="0"/>
            </w:tcBorders>
            <w:shd w:val="clear" w:color="auto" w:fill="auto"/>
            <w:vAlign w:val="center"/>
          </w:tcPr>
          <w:p w14:paraId="1FCA4FA8">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南昌县自然资源和规划局</w:t>
            </w:r>
          </w:p>
        </w:tc>
        <w:tc>
          <w:tcPr>
            <w:tcW w:w="1042" w:type="dxa"/>
            <w:tcBorders>
              <w:top w:val="nil"/>
              <w:left w:val="nil"/>
              <w:bottom w:val="single" w:color="auto" w:sz="4" w:space="0"/>
              <w:right w:val="single" w:color="auto" w:sz="4" w:space="0"/>
            </w:tcBorders>
            <w:shd w:val="clear" w:color="auto" w:fill="auto"/>
            <w:vAlign w:val="center"/>
          </w:tcPr>
          <w:p w14:paraId="7C564D17">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22500</w:t>
            </w:r>
          </w:p>
        </w:tc>
      </w:tr>
      <w:tr w14:paraId="224E9A9F">
        <w:tblPrEx>
          <w:tblCellMar>
            <w:top w:w="0" w:type="dxa"/>
            <w:left w:w="108" w:type="dxa"/>
            <w:bottom w:w="0" w:type="dxa"/>
            <w:right w:w="108" w:type="dxa"/>
          </w:tblCellMar>
        </w:tblPrEx>
        <w:trPr>
          <w:trHeight w:val="675" w:hRule="atLeast"/>
        </w:trPr>
        <w:tc>
          <w:tcPr>
            <w:tcW w:w="1129" w:type="dxa"/>
            <w:vMerge w:val="continue"/>
            <w:tcBorders>
              <w:top w:val="nil"/>
              <w:left w:val="single" w:color="auto" w:sz="4" w:space="0"/>
              <w:bottom w:val="single" w:color="auto" w:sz="4" w:space="0"/>
              <w:right w:val="single" w:color="auto" w:sz="4" w:space="0"/>
            </w:tcBorders>
            <w:vAlign w:val="center"/>
          </w:tcPr>
          <w:p w14:paraId="42E40D95">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5ACAEFD7">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森林“四化”建设项目</w:t>
            </w:r>
          </w:p>
        </w:tc>
        <w:tc>
          <w:tcPr>
            <w:tcW w:w="1418" w:type="dxa"/>
            <w:tcBorders>
              <w:top w:val="nil"/>
              <w:left w:val="nil"/>
              <w:bottom w:val="single" w:color="auto" w:sz="4" w:space="0"/>
              <w:right w:val="single" w:color="auto" w:sz="4" w:space="0"/>
            </w:tcBorders>
            <w:shd w:val="clear" w:color="auto" w:fill="auto"/>
            <w:vAlign w:val="center"/>
          </w:tcPr>
          <w:p w14:paraId="4062A93C">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富山乡、塘南镇、南新乡、八一乡等</w:t>
            </w:r>
          </w:p>
        </w:tc>
        <w:tc>
          <w:tcPr>
            <w:tcW w:w="6378" w:type="dxa"/>
            <w:tcBorders>
              <w:top w:val="nil"/>
              <w:left w:val="nil"/>
              <w:bottom w:val="single" w:color="auto" w:sz="4" w:space="0"/>
              <w:right w:val="single" w:color="auto" w:sz="4" w:space="0"/>
            </w:tcBorders>
            <w:shd w:val="clear" w:color="auto" w:fill="auto"/>
            <w:vAlign w:val="center"/>
          </w:tcPr>
          <w:p w14:paraId="7B37F2D9">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结合省市绿化美化彩化珍贵化建设要求，重点对主要高速公路、高铁和生态廊道两侧可视范围内或第一重山脊内的裸露山体、重点风景名胜区周边以及重点乡村风景林和生态廊道等重要区域两侧1公里范围内进行绿化提升，补植彩色和珍贵树种，提升森林景观。</w:t>
            </w:r>
          </w:p>
        </w:tc>
        <w:tc>
          <w:tcPr>
            <w:tcW w:w="1418" w:type="dxa"/>
            <w:tcBorders>
              <w:top w:val="nil"/>
              <w:left w:val="nil"/>
              <w:bottom w:val="single" w:color="auto" w:sz="4" w:space="0"/>
              <w:right w:val="single" w:color="auto" w:sz="4" w:space="0"/>
            </w:tcBorders>
            <w:shd w:val="clear" w:color="auto" w:fill="auto"/>
            <w:vAlign w:val="center"/>
          </w:tcPr>
          <w:p w14:paraId="2B5CFEEA">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南昌县自然资源和规划局</w:t>
            </w:r>
          </w:p>
        </w:tc>
        <w:tc>
          <w:tcPr>
            <w:tcW w:w="1042" w:type="dxa"/>
            <w:tcBorders>
              <w:top w:val="nil"/>
              <w:left w:val="nil"/>
              <w:bottom w:val="single" w:color="auto" w:sz="4" w:space="0"/>
              <w:right w:val="single" w:color="auto" w:sz="4" w:space="0"/>
            </w:tcBorders>
            <w:shd w:val="clear" w:color="auto" w:fill="auto"/>
            <w:vAlign w:val="center"/>
          </w:tcPr>
          <w:p w14:paraId="08C9EFF6">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18000</w:t>
            </w:r>
          </w:p>
        </w:tc>
      </w:tr>
      <w:tr w14:paraId="6BCD7950">
        <w:tblPrEx>
          <w:tblCellMar>
            <w:top w:w="0" w:type="dxa"/>
            <w:left w:w="108" w:type="dxa"/>
            <w:bottom w:w="0" w:type="dxa"/>
            <w:right w:w="108" w:type="dxa"/>
          </w:tblCellMar>
        </w:tblPrEx>
        <w:trPr>
          <w:trHeight w:val="900" w:hRule="atLeast"/>
        </w:trPr>
        <w:tc>
          <w:tcPr>
            <w:tcW w:w="1129" w:type="dxa"/>
            <w:vMerge w:val="continue"/>
            <w:tcBorders>
              <w:top w:val="nil"/>
              <w:left w:val="single" w:color="auto" w:sz="4" w:space="0"/>
              <w:bottom w:val="single" w:color="auto" w:sz="4" w:space="0"/>
              <w:right w:val="single" w:color="auto" w:sz="4" w:space="0"/>
            </w:tcBorders>
            <w:vAlign w:val="center"/>
          </w:tcPr>
          <w:p w14:paraId="691EDF4D">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05115B47">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低产低效林改造项目</w:t>
            </w:r>
          </w:p>
        </w:tc>
        <w:tc>
          <w:tcPr>
            <w:tcW w:w="1418" w:type="dxa"/>
            <w:tcBorders>
              <w:top w:val="nil"/>
              <w:left w:val="nil"/>
              <w:bottom w:val="single" w:color="auto" w:sz="4" w:space="0"/>
              <w:right w:val="single" w:color="auto" w:sz="4" w:space="0"/>
            </w:tcBorders>
            <w:shd w:val="clear" w:color="auto" w:fill="auto"/>
            <w:vAlign w:val="center"/>
          </w:tcPr>
          <w:p w14:paraId="509F7409">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塔城乡、黄马乡、三江镇等</w:t>
            </w:r>
          </w:p>
        </w:tc>
        <w:tc>
          <w:tcPr>
            <w:tcW w:w="6378" w:type="dxa"/>
            <w:tcBorders>
              <w:top w:val="nil"/>
              <w:left w:val="nil"/>
              <w:bottom w:val="single" w:color="auto" w:sz="4" w:space="0"/>
              <w:right w:val="single" w:color="auto" w:sz="4" w:space="0"/>
            </w:tcBorders>
            <w:shd w:val="clear" w:color="auto" w:fill="auto"/>
            <w:vAlign w:val="center"/>
          </w:tcPr>
          <w:p w14:paraId="55D253CB">
            <w:pPr>
              <w:widowControl/>
              <w:spacing w:before="0" w:after="0" w:line="240" w:lineRule="auto"/>
              <w:ind w:firstLine="0" w:firstLineChars="0"/>
              <w:rPr>
                <w:rFonts w:hAnsi="等线" w:cs="宋体"/>
                <w:color w:val="000000"/>
                <w:kern w:val="0"/>
                <w:sz w:val="18"/>
                <w:szCs w:val="18"/>
              </w:rPr>
            </w:pPr>
            <w:r>
              <w:rPr>
                <w:rFonts w:hint="eastAsia" w:hAnsi="等线" w:cs="宋体"/>
                <w:color w:val="000000"/>
                <w:kern w:val="0"/>
                <w:sz w:val="18"/>
                <w:szCs w:val="18"/>
              </w:rPr>
              <w:t>对郁闭度0.4以下或亩均蓄积量3立方米以下的低效林分、病虫害严重的低产低效林，采取更新改造、补植补造等方式进行改造。新栽阔叶类苗木培育时间应为2-3年及以上，每亩补植50株以上，补植后最低密度应达到该类林分合理密度的85%以上，新栽苗木成活率达到85%以上，实现低产低效林从增绿到造景的全面提升。</w:t>
            </w:r>
          </w:p>
        </w:tc>
        <w:tc>
          <w:tcPr>
            <w:tcW w:w="1418" w:type="dxa"/>
            <w:tcBorders>
              <w:top w:val="nil"/>
              <w:left w:val="nil"/>
              <w:bottom w:val="single" w:color="auto" w:sz="4" w:space="0"/>
              <w:right w:val="single" w:color="auto" w:sz="4" w:space="0"/>
            </w:tcBorders>
            <w:shd w:val="clear" w:color="auto" w:fill="auto"/>
            <w:vAlign w:val="center"/>
          </w:tcPr>
          <w:p w14:paraId="3E1669EC">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南昌县自然资源和规划局</w:t>
            </w:r>
          </w:p>
        </w:tc>
        <w:tc>
          <w:tcPr>
            <w:tcW w:w="1042" w:type="dxa"/>
            <w:tcBorders>
              <w:top w:val="nil"/>
              <w:left w:val="nil"/>
              <w:bottom w:val="single" w:color="auto" w:sz="4" w:space="0"/>
              <w:right w:val="single" w:color="auto" w:sz="4" w:space="0"/>
            </w:tcBorders>
            <w:shd w:val="clear" w:color="auto" w:fill="auto"/>
            <w:vAlign w:val="center"/>
          </w:tcPr>
          <w:p w14:paraId="0330B637">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7500</w:t>
            </w:r>
          </w:p>
        </w:tc>
      </w:tr>
      <w:tr w14:paraId="3A837C92">
        <w:tblPrEx>
          <w:tblCellMar>
            <w:top w:w="0" w:type="dxa"/>
            <w:left w:w="108" w:type="dxa"/>
            <w:bottom w:w="0" w:type="dxa"/>
            <w:right w:w="108" w:type="dxa"/>
          </w:tblCellMar>
        </w:tblPrEx>
        <w:trPr>
          <w:trHeight w:val="450" w:hRule="atLeast"/>
        </w:trPr>
        <w:tc>
          <w:tcPr>
            <w:tcW w:w="1129" w:type="dxa"/>
            <w:vMerge w:val="continue"/>
            <w:tcBorders>
              <w:top w:val="nil"/>
              <w:left w:val="single" w:color="auto" w:sz="4" w:space="0"/>
              <w:bottom w:val="single" w:color="auto" w:sz="4" w:space="0"/>
              <w:right w:val="single" w:color="auto" w:sz="4" w:space="0"/>
            </w:tcBorders>
            <w:vAlign w:val="center"/>
          </w:tcPr>
          <w:p w14:paraId="61003FB3">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5B0E2028">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冈上镇兴农沙漠森林公园生态修复项目</w:t>
            </w:r>
          </w:p>
        </w:tc>
        <w:tc>
          <w:tcPr>
            <w:tcW w:w="1418" w:type="dxa"/>
            <w:tcBorders>
              <w:top w:val="nil"/>
              <w:left w:val="nil"/>
              <w:bottom w:val="single" w:color="auto" w:sz="4" w:space="0"/>
              <w:right w:val="single" w:color="auto" w:sz="4" w:space="0"/>
            </w:tcBorders>
            <w:shd w:val="clear" w:color="auto" w:fill="auto"/>
            <w:vAlign w:val="center"/>
          </w:tcPr>
          <w:p w14:paraId="49665E28">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冈上镇</w:t>
            </w:r>
          </w:p>
        </w:tc>
        <w:tc>
          <w:tcPr>
            <w:tcW w:w="6378" w:type="dxa"/>
            <w:tcBorders>
              <w:top w:val="nil"/>
              <w:left w:val="nil"/>
              <w:bottom w:val="single" w:color="auto" w:sz="4" w:space="0"/>
              <w:right w:val="single" w:color="auto" w:sz="4" w:space="0"/>
            </w:tcBorders>
            <w:shd w:val="clear" w:color="auto" w:fill="auto"/>
            <w:vAlign w:val="center"/>
          </w:tcPr>
          <w:p w14:paraId="26B69E99">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加强对冈上镇422.3公顷优势树种、珍贵树种的保护修复，通过更换高品质树种、改良土壤、封山育林等方式改善低效林地、残次林地，提升兴农沙漠森林公园整体生态质量。</w:t>
            </w:r>
          </w:p>
        </w:tc>
        <w:tc>
          <w:tcPr>
            <w:tcW w:w="1418" w:type="dxa"/>
            <w:tcBorders>
              <w:top w:val="nil"/>
              <w:left w:val="nil"/>
              <w:bottom w:val="single" w:color="auto" w:sz="4" w:space="0"/>
              <w:right w:val="single" w:color="auto" w:sz="4" w:space="0"/>
            </w:tcBorders>
            <w:shd w:val="clear" w:color="auto" w:fill="auto"/>
            <w:vAlign w:val="center"/>
          </w:tcPr>
          <w:p w14:paraId="7C08383B">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南昌县自然资源和规划局</w:t>
            </w:r>
          </w:p>
        </w:tc>
        <w:tc>
          <w:tcPr>
            <w:tcW w:w="1042" w:type="dxa"/>
            <w:tcBorders>
              <w:top w:val="nil"/>
              <w:left w:val="nil"/>
              <w:bottom w:val="single" w:color="auto" w:sz="4" w:space="0"/>
              <w:right w:val="single" w:color="auto" w:sz="4" w:space="0"/>
            </w:tcBorders>
            <w:shd w:val="clear" w:color="auto" w:fill="auto"/>
            <w:vAlign w:val="center"/>
          </w:tcPr>
          <w:p w14:paraId="6C9BCA81">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1200</w:t>
            </w:r>
          </w:p>
        </w:tc>
      </w:tr>
      <w:tr w14:paraId="0055BA1E">
        <w:tblPrEx>
          <w:tblCellMar>
            <w:top w:w="0" w:type="dxa"/>
            <w:left w:w="108" w:type="dxa"/>
            <w:bottom w:w="0" w:type="dxa"/>
            <w:right w:w="108" w:type="dxa"/>
          </w:tblCellMar>
        </w:tblPrEx>
        <w:trPr>
          <w:trHeight w:val="1125" w:hRule="atLeast"/>
        </w:trPr>
        <w:tc>
          <w:tcPr>
            <w:tcW w:w="1129" w:type="dxa"/>
            <w:vMerge w:val="continue"/>
            <w:tcBorders>
              <w:top w:val="nil"/>
              <w:left w:val="single" w:color="auto" w:sz="4" w:space="0"/>
              <w:bottom w:val="single" w:color="auto" w:sz="4" w:space="0"/>
              <w:right w:val="single" w:color="auto" w:sz="4" w:space="0"/>
            </w:tcBorders>
            <w:vAlign w:val="center"/>
          </w:tcPr>
          <w:p w14:paraId="33B76858">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71AE32A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南昌县国土造林绿化项目</w:t>
            </w:r>
          </w:p>
        </w:tc>
        <w:tc>
          <w:tcPr>
            <w:tcW w:w="1418" w:type="dxa"/>
            <w:tcBorders>
              <w:top w:val="nil"/>
              <w:left w:val="nil"/>
              <w:bottom w:val="single" w:color="auto" w:sz="4" w:space="0"/>
              <w:right w:val="single" w:color="auto" w:sz="4" w:space="0"/>
            </w:tcBorders>
            <w:shd w:val="clear" w:color="auto" w:fill="auto"/>
            <w:vAlign w:val="center"/>
          </w:tcPr>
          <w:p w14:paraId="21A74B3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冈上镇、广福镇、三江镇、黄马乡</w:t>
            </w:r>
          </w:p>
        </w:tc>
        <w:tc>
          <w:tcPr>
            <w:tcW w:w="6378" w:type="dxa"/>
            <w:tcBorders>
              <w:top w:val="nil"/>
              <w:left w:val="nil"/>
              <w:bottom w:val="single" w:color="auto" w:sz="4" w:space="0"/>
              <w:right w:val="single" w:color="auto" w:sz="4" w:space="0"/>
            </w:tcBorders>
            <w:shd w:val="clear" w:color="auto" w:fill="auto"/>
            <w:vAlign w:val="center"/>
          </w:tcPr>
          <w:p w14:paraId="0FAB83C9">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明确造林绿化空间工作，落实党中央、国务院科学开展国土绿化、加强生态保护修复等决策部署。开展造林适宜性图斑调查评估工作，为国土造林绿化提供基础数据，坚持“宜乔则乔、宜灌则灌、宜湿则湿”的原则，落实南昌县适宜造林绿化图斑面积1171亩。加强对全县6010.6公顷森林和14795公顷湿地功能退化地块进行生态修复，对全县432.25公顷沙化土地进行科学治理，对集镇、村庄、道路及重要节点进行绿化、美化、彩化。</w:t>
            </w:r>
          </w:p>
        </w:tc>
        <w:tc>
          <w:tcPr>
            <w:tcW w:w="1418" w:type="dxa"/>
            <w:tcBorders>
              <w:top w:val="nil"/>
              <w:left w:val="nil"/>
              <w:bottom w:val="single" w:color="auto" w:sz="4" w:space="0"/>
              <w:right w:val="single" w:color="auto" w:sz="4" w:space="0"/>
            </w:tcBorders>
            <w:shd w:val="clear" w:color="auto" w:fill="auto"/>
            <w:vAlign w:val="center"/>
          </w:tcPr>
          <w:p w14:paraId="1EE1483F">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南昌县自然资源和规划局</w:t>
            </w:r>
          </w:p>
        </w:tc>
        <w:tc>
          <w:tcPr>
            <w:tcW w:w="1042" w:type="dxa"/>
            <w:tcBorders>
              <w:top w:val="nil"/>
              <w:left w:val="nil"/>
              <w:bottom w:val="single" w:color="auto" w:sz="4" w:space="0"/>
              <w:right w:val="single" w:color="auto" w:sz="4" w:space="0"/>
            </w:tcBorders>
            <w:shd w:val="clear" w:color="auto" w:fill="auto"/>
            <w:vAlign w:val="center"/>
          </w:tcPr>
          <w:p w14:paraId="4798ECB7">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27000</w:t>
            </w:r>
          </w:p>
        </w:tc>
      </w:tr>
      <w:tr w14:paraId="38AF6A7D">
        <w:tblPrEx>
          <w:tblCellMar>
            <w:top w:w="0" w:type="dxa"/>
            <w:left w:w="108" w:type="dxa"/>
            <w:bottom w:w="0" w:type="dxa"/>
            <w:right w:w="108" w:type="dxa"/>
          </w:tblCellMar>
        </w:tblPrEx>
        <w:trPr>
          <w:trHeight w:val="450" w:hRule="atLeast"/>
        </w:trPr>
        <w:tc>
          <w:tcPr>
            <w:tcW w:w="1129" w:type="dxa"/>
            <w:vMerge w:val="restart"/>
            <w:tcBorders>
              <w:top w:val="nil"/>
              <w:left w:val="single" w:color="auto" w:sz="4" w:space="0"/>
              <w:right w:val="single" w:color="auto" w:sz="4" w:space="0"/>
            </w:tcBorders>
            <w:shd w:val="clear" w:color="auto" w:fill="auto"/>
            <w:vAlign w:val="center"/>
          </w:tcPr>
          <w:p w14:paraId="2FB61399">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国土综合整治与农用地生态功能提升工程</w:t>
            </w:r>
          </w:p>
        </w:tc>
        <w:tc>
          <w:tcPr>
            <w:tcW w:w="1843" w:type="dxa"/>
            <w:tcBorders>
              <w:top w:val="nil"/>
              <w:left w:val="nil"/>
              <w:bottom w:val="single" w:color="auto" w:sz="4" w:space="0"/>
              <w:right w:val="single" w:color="auto" w:sz="4" w:space="0"/>
            </w:tcBorders>
            <w:shd w:val="clear" w:color="auto" w:fill="auto"/>
            <w:vAlign w:val="center"/>
          </w:tcPr>
          <w:p w14:paraId="42DF2871">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南昌县土壤污染治理与修复项目</w:t>
            </w:r>
          </w:p>
        </w:tc>
        <w:tc>
          <w:tcPr>
            <w:tcW w:w="1418" w:type="dxa"/>
            <w:tcBorders>
              <w:top w:val="nil"/>
              <w:left w:val="nil"/>
              <w:bottom w:val="single" w:color="auto" w:sz="4" w:space="0"/>
              <w:right w:val="single" w:color="auto" w:sz="4" w:space="0"/>
            </w:tcBorders>
            <w:shd w:val="clear" w:color="auto" w:fill="auto"/>
            <w:vAlign w:val="center"/>
          </w:tcPr>
          <w:p w14:paraId="0F91736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八一乡、银三角</w:t>
            </w:r>
          </w:p>
        </w:tc>
        <w:tc>
          <w:tcPr>
            <w:tcW w:w="6378" w:type="dxa"/>
            <w:tcBorders>
              <w:top w:val="nil"/>
              <w:left w:val="nil"/>
              <w:bottom w:val="single" w:color="auto" w:sz="4" w:space="0"/>
              <w:right w:val="single" w:color="auto" w:sz="4" w:space="0"/>
            </w:tcBorders>
            <w:shd w:val="clear" w:color="auto" w:fill="auto"/>
            <w:vAlign w:val="center"/>
          </w:tcPr>
          <w:p w14:paraId="1F5EB5DA">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对耕地污染较为严重的区域，通过调整种植制度、净化灌溉水或采用替代水源、深翻耕地、种植低镉积累水稻品种、秸秆还田配施石灰等碱性材料、农艺阻控技术等相关措施进行治理修复。</w:t>
            </w:r>
          </w:p>
        </w:tc>
        <w:tc>
          <w:tcPr>
            <w:tcW w:w="1418" w:type="dxa"/>
            <w:tcBorders>
              <w:top w:val="nil"/>
              <w:left w:val="nil"/>
              <w:bottom w:val="single" w:color="auto" w:sz="4" w:space="0"/>
              <w:right w:val="single" w:color="auto" w:sz="4" w:space="0"/>
            </w:tcBorders>
            <w:shd w:val="clear" w:color="auto" w:fill="auto"/>
            <w:vAlign w:val="center"/>
          </w:tcPr>
          <w:p w14:paraId="56758EC5">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南昌县农业农村局</w:t>
            </w:r>
          </w:p>
        </w:tc>
        <w:tc>
          <w:tcPr>
            <w:tcW w:w="1042" w:type="dxa"/>
            <w:tcBorders>
              <w:top w:val="nil"/>
              <w:left w:val="nil"/>
              <w:bottom w:val="single" w:color="auto" w:sz="4" w:space="0"/>
              <w:right w:val="single" w:color="auto" w:sz="4" w:space="0"/>
            </w:tcBorders>
            <w:shd w:val="clear" w:color="auto" w:fill="auto"/>
            <w:vAlign w:val="center"/>
          </w:tcPr>
          <w:p w14:paraId="75D4A21C">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3500</w:t>
            </w:r>
          </w:p>
        </w:tc>
      </w:tr>
      <w:tr w14:paraId="274D7C7F">
        <w:tblPrEx>
          <w:tblCellMar>
            <w:top w:w="0" w:type="dxa"/>
            <w:left w:w="108" w:type="dxa"/>
            <w:bottom w:w="0" w:type="dxa"/>
            <w:right w:w="108" w:type="dxa"/>
          </w:tblCellMar>
        </w:tblPrEx>
        <w:trPr>
          <w:trHeight w:val="900" w:hRule="atLeast"/>
        </w:trPr>
        <w:tc>
          <w:tcPr>
            <w:tcW w:w="1129" w:type="dxa"/>
            <w:vMerge w:val="continue"/>
            <w:tcBorders>
              <w:left w:val="single" w:color="auto" w:sz="4" w:space="0"/>
              <w:right w:val="single" w:color="auto" w:sz="4" w:space="0"/>
            </w:tcBorders>
            <w:vAlign w:val="center"/>
          </w:tcPr>
          <w:p w14:paraId="3D6DA07B">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5AFDD48D">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南昌县全域土地综合整治项目</w:t>
            </w:r>
          </w:p>
        </w:tc>
        <w:tc>
          <w:tcPr>
            <w:tcW w:w="1418" w:type="dxa"/>
            <w:tcBorders>
              <w:top w:val="nil"/>
              <w:left w:val="nil"/>
              <w:bottom w:val="single" w:color="auto" w:sz="4" w:space="0"/>
              <w:right w:val="single" w:color="auto" w:sz="4" w:space="0"/>
            </w:tcBorders>
            <w:shd w:val="clear" w:color="auto" w:fill="auto"/>
            <w:vAlign w:val="center"/>
          </w:tcPr>
          <w:p w14:paraId="1F7F5278">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塘南镇、向塘镇、蒋巷镇</w:t>
            </w:r>
          </w:p>
        </w:tc>
        <w:tc>
          <w:tcPr>
            <w:tcW w:w="6378" w:type="dxa"/>
            <w:tcBorders>
              <w:top w:val="nil"/>
              <w:left w:val="nil"/>
              <w:bottom w:val="single" w:color="auto" w:sz="4" w:space="0"/>
              <w:right w:val="single" w:color="auto" w:sz="4" w:space="0"/>
            </w:tcBorders>
            <w:shd w:val="clear" w:color="auto" w:fill="auto"/>
            <w:vAlign w:val="center"/>
          </w:tcPr>
          <w:p w14:paraId="0A95D343">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实施农用地生态整治、建设用地整理、工矿废弃地生态复垦，乡村整体生态保护修复。结合整治区域生态状况，针对突出生态问题，立足生态景观、生态系统等尺度，开展农田生态系统保护修复、生态网络连通、水系修复、绿色基础设施和生态廊道建设等工作，改善乡村生态功能、维护生物多样性。</w:t>
            </w:r>
          </w:p>
        </w:tc>
        <w:tc>
          <w:tcPr>
            <w:tcW w:w="1418" w:type="dxa"/>
            <w:tcBorders>
              <w:top w:val="nil"/>
              <w:left w:val="nil"/>
              <w:bottom w:val="single" w:color="auto" w:sz="4" w:space="0"/>
              <w:right w:val="single" w:color="auto" w:sz="4" w:space="0"/>
            </w:tcBorders>
            <w:shd w:val="clear" w:color="auto" w:fill="auto"/>
            <w:vAlign w:val="center"/>
          </w:tcPr>
          <w:p w14:paraId="37D1F053">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南昌县自然资源和规划局</w:t>
            </w:r>
          </w:p>
        </w:tc>
        <w:tc>
          <w:tcPr>
            <w:tcW w:w="1042" w:type="dxa"/>
            <w:tcBorders>
              <w:top w:val="nil"/>
              <w:left w:val="nil"/>
              <w:bottom w:val="single" w:color="auto" w:sz="4" w:space="0"/>
              <w:right w:val="single" w:color="auto" w:sz="4" w:space="0"/>
            </w:tcBorders>
            <w:shd w:val="clear" w:color="auto" w:fill="auto"/>
            <w:vAlign w:val="center"/>
          </w:tcPr>
          <w:p w14:paraId="233E742D">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10000</w:t>
            </w:r>
          </w:p>
        </w:tc>
      </w:tr>
      <w:tr w14:paraId="307600B3">
        <w:tblPrEx>
          <w:tblCellMar>
            <w:top w:w="0" w:type="dxa"/>
            <w:left w:w="108" w:type="dxa"/>
            <w:bottom w:w="0" w:type="dxa"/>
            <w:right w:w="108" w:type="dxa"/>
          </w:tblCellMar>
        </w:tblPrEx>
        <w:trPr>
          <w:trHeight w:val="1125" w:hRule="atLeast"/>
        </w:trPr>
        <w:tc>
          <w:tcPr>
            <w:tcW w:w="1129" w:type="dxa"/>
            <w:vMerge w:val="continue"/>
            <w:tcBorders>
              <w:left w:val="single" w:color="auto" w:sz="4" w:space="0"/>
              <w:right w:val="single" w:color="auto" w:sz="4" w:space="0"/>
            </w:tcBorders>
            <w:vAlign w:val="center"/>
          </w:tcPr>
          <w:p w14:paraId="68D992DB">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6BD740C4">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南昌县高标准农田建设项目</w:t>
            </w:r>
          </w:p>
        </w:tc>
        <w:tc>
          <w:tcPr>
            <w:tcW w:w="1418" w:type="dxa"/>
            <w:tcBorders>
              <w:top w:val="nil"/>
              <w:left w:val="nil"/>
              <w:bottom w:val="single" w:color="auto" w:sz="4" w:space="0"/>
              <w:right w:val="single" w:color="auto" w:sz="4" w:space="0"/>
            </w:tcBorders>
            <w:shd w:val="clear" w:color="auto" w:fill="auto"/>
            <w:vAlign w:val="center"/>
          </w:tcPr>
          <w:p w14:paraId="590F199F">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蒋巷镇、泾口乡、南新乡等</w:t>
            </w:r>
          </w:p>
        </w:tc>
        <w:tc>
          <w:tcPr>
            <w:tcW w:w="6378" w:type="dxa"/>
            <w:tcBorders>
              <w:top w:val="nil"/>
              <w:left w:val="nil"/>
              <w:bottom w:val="single" w:color="auto" w:sz="4" w:space="0"/>
              <w:right w:val="single" w:color="auto" w:sz="4" w:space="0"/>
            </w:tcBorders>
            <w:shd w:val="clear" w:color="auto" w:fill="auto"/>
            <w:vAlign w:val="center"/>
          </w:tcPr>
          <w:p w14:paraId="299246B1">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通过促进农田集中连片和农田林网、生态沟渠、小型人工湿地等配套建设，打造田地与水网、林网相结合农田肌理，配合减少化肥农药使用，推广有机肥、绿肥种植等措施。采取多孔质设计，在道路边缘尽量留有生态廊道，为其他生物的通行及生存提供空间。加强秸秆还田技术应用，在保证农田林网防护功能的前提下，适当搭配一些观赏树木或花卉，如紫微、红叶石楠、香樟等观赏植物，强化农田景观及缓冲带建设，到2025年累计建成生态型高标准农田98.14万亩。</w:t>
            </w:r>
          </w:p>
        </w:tc>
        <w:tc>
          <w:tcPr>
            <w:tcW w:w="1418" w:type="dxa"/>
            <w:tcBorders>
              <w:top w:val="nil"/>
              <w:left w:val="nil"/>
              <w:bottom w:val="single" w:color="auto" w:sz="4" w:space="0"/>
              <w:right w:val="single" w:color="auto" w:sz="4" w:space="0"/>
            </w:tcBorders>
            <w:shd w:val="clear" w:color="auto" w:fill="auto"/>
            <w:vAlign w:val="center"/>
          </w:tcPr>
          <w:p w14:paraId="12D77BD3">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南昌县农业农村局</w:t>
            </w:r>
          </w:p>
        </w:tc>
        <w:tc>
          <w:tcPr>
            <w:tcW w:w="1042" w:type="dxa"/>
            <w:tcBorders>
              <w:top w:val="nil"/>
              <w:left w:val="nil"/>
              <w:bottom w:val="single" w:color="auto" w:sz="4" w:space="0"/>
              <w:right w:val="single" w:color="auto" w:sz="4" w:space="0"/>
            </w:tcBorders>
            <w:shd w:val="clear" w:color="auto" w:fill="auto"/>
            <w:vAlign w:val="center"/>
          </w:tcPr>
          <w:p w14:paraId="399F1DA4">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540</w:t>
            </w:r>
          </w:p>
        </w:tc>
      </w:tr>
      <w:tr w14:paraId="16FC9F44">
        <w:tblPrEx>
          <w:tblCellMar>
            <w:top w:w="0" w:type="dxa"/>
            <w:left w:w="108" w:type="dxa"/>
            <w:bottom w:w="0" w:type="dxa"/>
            <w:right w:w="108" w:type="dxa"/>
          </w:tblCellMar>
        </w:tblPrEx>
        <w:trPr>
          <w:trHeight w:val="1125" w:hRule="atLeast"/>
        </w:trPr>
        <w:tc>
          <w:tcPr>
            <w:tcW w:w="1129" w:type="dxa"/>
            <w:vMerge w:val="continue"/>
            <w:tcBorders>
              <w:left w:val="single" w:color="auto" w:sz="4" w:space="0"/>
              <w:right w:val="single" w:color="auto" w:sz="4" w:space="0"/>
            </w:tcBorders>
            <w:vAlign w:val="center"/>
          </w:tcPr>
          <w:p w14:paraId="597F562F">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7F9A18D">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南昌县高标准农田改造提升项目</w:t>
            </w:r>
          </w:p>
        </w:tc>
        <w:tc>
          <w:tcPr>
            <w:tcW w:w="1418" w:type="dxa"/>
            <w:tcBorders>
              <w:top w:val="nil"/>
              <w:left w:val="nil"/>
              <w:bottom w:val="single" w:color="auto" w:sz="4" w:space="0"/>
              <w:right w:val="single" w:color="auto" w:sz="4" w:space="0"/>
            </w:tcBorders>
            <w:shd w:val="clear" w:color="auto" w:fill="auto"/>
            <w:vAlign w:val="center"/>
          </w:tcPr>
          <w:p w14:paraId="7341AA3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塘南镇、泾口乡、幽兰镇、塔城乡、武阳镇、向塘镇、南新乡、蒋巷镇</w:t>
            </w:r>
          </w:p>
        </w:tc>
        <w:tc>
          <w:tcPr>
            <w:tcW w:w="6378" w:type="dxa"/>
            <w:tcBorders>
              <w:top w:val="nil"/>
              <w:left w:val="nil"/>
              <w:bottom w:val="single" w:color="auto" w:sz="4" w:space="0"/>
              <w:right w:val="single" w:color="auto" w:sz="4" w:space="0"/>
            </w:tcBorders>
            <w:shd w:val="clear" w:color="auto" w:fill="auto"/>
            <w:vAlign w:val="center"/>
          </w:tcPr>
          <w:p w14:paraId="5E263F2B">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对2011-2016年各部门建设标准低、损毁严重的高标准农田进行生态功能改造提升，实施土地整治生态工程、灌溉排水生态工程、田间道路生态工程、农田林网生态防护工程、建设水体生态净化工程，优先在“三线一区”，即高速、铁路、国道沿线和旅游风景区，选取一批相对集中连片、规模万亩以上区域，打造成高标准农田生态质量改造提升示范项目。到2025年改造提升11.53万亩，到2030年改造提升</w:t>
            </w:r>
            <w:r>
              <w:rPr>
                <w:rFonts w:hAnsi="等线" w:cs="宋体"/>
                <w:color w:val="000000"/>
                <w:kern w:val="0"/>
                <w:sz w:val="18"/>
                <w:szCs w:val="18"/>
              </w:rPr>
              <w:t>35.69</w:t>
            </w:r>
            <w:r>
              <w:rPr>
                <w:rFonts w:hint="eastAsia" w:hAnsi="等线" w:cs="宋体"/>
                <w:color w:val="000000"/>
                <w:kern w:val="0"/>
                <w:sz w:val="18"/>
                <w:szCs w:val="18"/>
              </w:rPr>
              <w:t>万亩。</w:t>
            </w:r>
          </w:p>
        </w:tc>
        <w:tc>
          <w:tcPr>
            <w:tcW w:w="1418" w:type="dxa"/>
            <w:tcBorders>
              <w:top w:val="nil"/>
              <w:left w:val="nil"/>
              <w:bottom w:val="single" w:color="auto" w:sz="4" w:space="0"/>
              <w:right w:val="single" w:color="auto" w:sz="4" w:space="0"/>
            </w:tcBorders>
            <w:shd w:val="clear" w:color="auto" w:fill="auto"/>
            <w:vAlign w:val="center"/>
          </w:tcPr>
          <w:p w14:paraId="477F206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南昌县农业农村局</w:t>
            </w:r>
          </w:p>
        </w:tc>
        <w:tc>
          <w:tcPr>
            <w:tcW w:w="1042" w:type="dxa"/>
            <w:tcBorders>
              <w:top w:val="nil"/>
              <w:left w:val="nil"/>
              <w:bottom w:val="single" w:color="auto" w:sz="4" w:space="0"/>
              <w:right w:val="single" w:color="auto" w:sz="4" w:space="0"/>
            </w:tcBorders>
            <w:shd w:val="clear" w:color="auto" w:fill="auto"/>
            <w:vAlign w:val="center"/>
          </w:tcPr>
          <w:p w14:paraId="19BFB8BD">
            <w:pPr>
              <w:widowControl/>
              <w:spacing w:before="0" w:after="0" w:line="240" w:lineRule="auto"/>
              <w:ind w:firstLine="0" w:firstLineChars="0"/>
              <w:jc w:val="center"/>
              <w:rPr>
                <w:rFonts w:hAnsi="等线" w:cs="宋体"/>
                <w:color w:val="000000"/>
                <w:kern w:val="0"/>
                <w:sz w:val="18"/>
                <w:szCs w:val="18"/>
              </w:rPr>
            </w:pPr>
            <w:r>
              <w:rPr>
                <w:rFonts w:hAnsi="等线" w:cs="宋体"/>
                <w:color w:val="000000"/>
                <w:kern w:val="0"/>
                <w:sz w:val="18"/>
                <w:szCs w:val="18"/>
              </w:rPr>
              <w:t>31305</w:t>
            </w:r>
          </w:p>
        </w:tc>
      </w:tr>
      <w:tr w14:paraId="344E9C57">
        <w:tblPrEx>
          <w:tblCellMar>
            <w:top w:w="0" w:type="dxa"/>
            <w:left w:w="108" w:type="dxa"/>
            <w:bottom w:w="0" w:type="dxa"/>
            <w:right w:w="108" w:type="dxa"/>
          </w:tblCellMar>
        </w:tblPrEx>
        <w:trPr>
          <w:trHeight w:val="1125" w:hRule="atLeast"/>
        </w:trPr>
        <w:tc>
          <w:tcPr>
            <w:tcW w:w="1129" w:type="dxa"/>
            <w:vMerge w:val="continue"/>
            <w:tcBorders>
              <w:left w:val="single" w:color="auto" w:sz="4" w:space="0"/>
              <w:bottom w:val="single" w:color="auto" w:sz="4" w:space="0"/>
              <w:right w:val="single" w:color="auto" w:sz="4" w:space="0"/>
            </w:tcBorders>
            <w:vAlign w:val="center"/>
          </w:tcPr>
          <w:p w14:paraId="75A43CAE">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7411E953">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抚河下游流域农用地生态功能提升项目</w:t>
            </w:r>
          </w:p>
        </w:tc>
        <w:tc>
          <w:tcPr>
            <w:tcW w:w="1418" w:type="dxa"/>
            <w:tcBorders>
              <w:top w:val="nil"/>
              <w:left w:val="nil"/>
              <w:bottom w:val="single" w:color="auto" w:sz="4" w:space="0"/>
              <w:right w:val="single" w:color="auto" w:sz="4" w:space="0"/>
            </w:tcBorders>
            <w:shd w:val="clear" w:color="auto" w:fill="auto"/>
            <w:vAlign w:val="center"/>
          </w:tcPr>
          <w:p w14:paraId="27400599">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幽兰镇、泾口乡、塘南镇</w:t>
            </w:r>
          </w:p>
        </w:tc>
        <w:tc>
          <w:tcPr>
            <w:tcW w:w="6378" w:type="dxa"/>
            <w:tcBorders>
              <w:top w:val="nil"/>
              <w:left w:val="nil"/>
              <w:bottom w:val="single" w:color="auto" w:sz="4" w:space="0"/>
              <w:right w:val="single" w:color="auto" w:sz="4" w:space="0"/>
            </w:tcBorders>
            <w:shd w:val="clear" w:color="auto" w:fill="auto"/>
            <w:vAlign w:val="center"/>
          </w:tcPr>
          <w:p w14:paraId="1C981CE9">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在幽兰镇、泾口乡、塘南镇</w:t>
            </w:r>
            <w:r>
              <w:rPr>
                <w:rFonts w:hAnsi="等线" w:cs="宋体"/>
                <w:color w:val="000000"/>
                <w:kern w:val="0"/>
                <w:sz w:val="18"/>
                <w:szCs w:val="18"/>
              </w:rPr>
              <w:t>3个乡镇21个行政村。建设生态化示范治理农田面积7.91万亩，建设生态渠15.30千米，生态排水沟13.65千米，整理沟渠35.64千米，构建生态塘93座，农业生产废弃物收集箱160个，恢复植被缓冲带15公顷，设置科普宣传和安全警示牌50块。通过项目实施，全面提升抚河下游流域农用地生态功能，修复生态栖息地，提升抚河下游流域农用地水质，打通区域水循环系统等</w:t>
            </w:r>
            <w:r>
              <w:rPr>
                <w:rFonts w:hint="eastAsia" w:hAnsi="等线" w:cs="宋体"/>
                <w:color w:val="000000"/>
                <w:kern w:val="0"/>
                <w:sz w:val="18"/>
                <w:szCs w:val="18"/>
              </w:rPr>
              <w:t>。</w:t>
            </w:r>
          </w:p>
        </w:tc>
        <w:tc>
          <w:tcPr>
            <w:tcW w:w="1418" w:type="dxa"/>
            <w:tcBorders>
              <w:top w:val="nil"/>
              <w:left w:val="nil"/>
              <w:bottom w:val="single" w:color="auto" w:sz="4" w:space="0"/>
              <w:right w:val="single" w:color="auto" w:sz="4" w:space="0"/>
            </w:tcBorders>
            <w:shd w:val="clear" w:color="auto" w:fill="auto"/>
            <w:vAlign w:val="center"/>
          </w:tcPr>
          <w:p w14:paraId="766981EF">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南昌县农业农村局</w:t>
            </w:r>
          </w:p>
        </w:tc>
        <w:tc>
          <w:tcPr>
            <w:tcW w:w="1042" w:type="dxa"/>
            <w:tcBorders>
              <w:top w:val="nil"/>
              <w:left w:val="nil"/>
              <w:bottom w:val="single" w:color="auto" w:sz="4" w:space="0"/>
              <w:right w:val="single" w:color="auto" w:sz="4" w:space="0"/>
            </w:tcBorders>
            <w:shd w:val="clear" w:color="auto" w:fill="auto"/>
            <w:vAlign w:val="center"/>
          </w:tcPr>
          <w:p w14:paraId="290AC04D">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9</w:t>
            </w:r>
            <w:r>
              <w:rPr>
                <w:rFonts w:hAnsi="等线" w:cs="宋体"/>
                <w:color w:val="000000"/>
                <w:kern w:val="0"/>
                <w:sz w:val="18"/>
                <w:szCs w:val="18"/>
              </w:rPr>
              <w:t>960</w:t>
            </w:r>
          </w:p>
        </w:tc>
      </w:tr>
      <w:tr w14:paraId="35C5E6FB">
        <w:tblPrEx>
          <w:tblCellMar>
            <w:top w:w="0" w:type="dxa"/>
            <w:left w:w="108" w:type="dxa"/>
            <w:bottom w:w="0" w:type="dxa"/>
            <w:right w:w="108" w:type="dxa"/>
          </w:tblCellMar>
        </w:tblPrEx>
        <w:trPr>
          <w:trHeight w:val="465" w:hRule="atLeast"/>
        </w:trPr>
        <w:tc>
          <w:tcPr>
            <w:tcW w:w="1129" w:type="dxa"/>
            <w:vMerge w:val="restart"/>
            <w:tcBorders>
              <w:top w:val="nil"/>
              <w:left w:val="single" w:color="auto" w:sz="4" w:space="0"/>
              <w:bottom w:val="single" w:color="auto" w:sz="4" w:space="0"/>
              <w:right w:val="single" w:color="auto" w:sz="4" w:space="0"/>
            </w:tcBorders>
            <w:shd w:val="clear" w:color="auto" w:fill="auto"/>
            <w:vAlign w:val="center"/>
          </w:tcPr>
          <w:p w14:paraId="1218572F">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城乡生态网络连通与人居环境改善工程</w:t>
            </w:r>
          </w:p>
        </w:tc>
        <w:tc>
          <w:tcPr>
            <w:tcW w:w="1843" w:type="dxa"/>
            <w:tcBorders>
              <w:top w:val="nil"/>
              <w:left w:val="nil"/>
              <w:bottom w:val="single" w:color="auto" w:sz="4" w:space="0"/>
              <w:right w:val="single" w:color="auto" w:sz="4" w:space="0"/>
            </w:tcBorders>
            <w:shd w:val="clear" w:color="auto" w:fill="auto"/>
            <w:vAlign w:val="center"/>
          </w:tcPr>
          <w:p w14:paraId="3185EA42">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雁沙湖公园生态修复项目</w:t>
            </w:r>
          </w:p>
        </w:tc>
        <w:tc>
          <w:tcPr>
            <w:tcW w:w="1418" w:type="dxa"/>
            <w:tcBorders>
              <w:top w:val="nil"/>
              <w:left w:val="nil"/>
              <w:bottom w:val="single" w:color="auto" w:sz="4" w:space="0"/>
              <w:right w:val="single" w:color="auto" w:sz="4" w:space="0"/>
            </w:tcBorders>
            <w:shd w:val="clear" w:color="auto" w:fill="auto"/>
            <w:vAlign w:val="center"/>
          </w:tcPr>
          <w:p w14:paraId="717D2A6D">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小蓝经开区</w:t>
            </w:r>
          </w:p>
        </w:tc>
        <w:tc>
          <w:tcPr>
            <w:tcW w:w="6378" w:type="dxa"/>
            <w:tcBorders>
              <w:top w:val="nil"/>
              <w:left w:val="nil"/>
              <w:bottom w:val="single" w:color="auto" w:sz="4" w:space="0"/>
              <w:right w:val="single" w:color="auto" w:sz="4" w:space="0"/>
            </w:tcBorders>
            <w:shd w:val="clear" w:color="auto" w:fill="auto"/>
            <w:vAlign w:val="center"/>
          </w:tcPr>
          <w:p w14:paraId="67A76EB5">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修复治理雁沙湖公园约9.7万m</w:t>
            </w:r>
            <w:r>
              <w:rPr>
                <w:rFonts w:ascii="Calibri" w:hAnsi="Calibri" w:cs="Calibri"/>
                <w:color w:val="000000"/>
                <w:kern w:val="0"/>
                <w:sz w:val="18"/>
                <w:szCs w:val="18"/>
              </w:rPr>
              <w:t>²</w:t>
            </w:r>
            <w:r>
              <w:rPr>
                <w:rFonts w:hint="eastAsia" w:hAnsi="等线" w:cs="宋体"/>
                <w:color w:val="000000"/>
                <w:kern w:val="0"/>
                <w:sz w:val="18"/>
                <w:szCs w:val="18"/>
              </w:rPr>
              <w:t>水域，对公园明渠进行水体生物活化修复，治理后连续12个月内达到IV类水质及以上标准。</w:t>
            </w:r>
          </w:p>
        </w:tc>
        <w:tc>
          <w:tcPr>
            <w:tcW w:w="1418" w:type="dxa"/>
            <w:tcBorders>
              <w:top w:val="nil"/>
              <w:left w:val="nil"/>
              <w:bottom w:val="single" w:color="auto" w:sz="4" w:space="0"/>
              <w:right w:val="single" w:color="auto" w:sz="4" w:space="0"/>
            </w:tcBorders>
            <w:shd w:val="clear" w:color="auto" w:fill="auto"/>
            <w:vAlign w:val="center"/>
          </w:tcPr>
          <w:p w14:paraId="2D29B373">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南昌县城市管理局</w:t>
            </w:r>
          </w:p>
        </w:tc>
        <w:tc>
          <w:tcPr>
            <w:tcW w:w="1042" w:type="dxa"/>
            <w:tcBorders>
              <w:top w:val="nil"/>
              <w:left w:val="nil"/>
              <w:bottom w:val="single" w:color="auto" w:sz="4" w:space="0"/>
              <w:right w:val="single" w:color="auto" w:sz="4" w:space="0"/>
            </w:tcBorders>
            <w:shd w:val="clear" w:color="auto" w:fill="auto"/>
            <w:vAlign w:val="center"/>
          </w:tcPr>
          <w:p w14:paraId="1005EA0D">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15000</w:t>
            </w:r>
          </w:p>
        </w:tc>
      </w:tr>
      <w:tr w14:paraId="409A72A1">
        <w:tblPrEx>
          <w:tblCellMar>
            <w:top w:w="0" w:type="dxa"/>
            <w:left w:w="108" w:type="dxa"/>
            <w:bottom w:w="0" w:type="dxa"/>
            <w:right w:w="108" w:type="dxa"/>
          </w:tblCellMar>
        </w:tblPrEx>
        <w:trPr>
          <w:trHeight w:val="675" w:hRule="atLeast"/>
        </w:trPr>
        <w:tc>
          <w:tcPr>
            <w:tcW w:w="1129" w:type="dxa"/>
            <w:vMerge w:val="continue"/>
            <w:tcBorders>
              <w:top w:val="nil"/>
              <w:left w:val="single" w:color="auto" w:sz="4" w:space="0"/>
              <w:bottom w:val="single" w:color="auto" w:sz="4" w:space="0"/>
              <w:right w:val="single" w:color="auto" w:sz="4" w:space="0"/>
            </w:tcBorders>
            <w:vAlign w:val="center"/>
          </w:tcPr>
          <w:p w14:paraId="15189EB9">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40EB1C49">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抚河故道湿地郊野公园建设项目</w:t>
            </w:r>
          </w:p>
        </w:tc>
        <w:tc>
          <w:tcPr>
            <w:tcW w:w="1418" w:type="dxa"/>
            <w:tcBorders>
              <w:top w:val="nil"/>
              <w:left w:val="nil"/>
              <w:bottom w:val="single" w:color="auto" w:sz="4" w:space="0"/>
              <w:right w:val="single" w:color="auto" w:sz="4" w:space="0"/>
            </w:tcBorders>
            <w:shd w:val="clear" w:color="auto" w:fill="auto"/>
            <w:vAlign w:val="center"/>
          </w:tcPr>
          <w:p w14:paraId="10E38015">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小蓝经开区、富山乡、东新乡</w:t>
            </w:r>
          </w:p>
        </w:tc>
        <w:tc>
          <w:tcPr>
            <w:tcW w:w="6378" w:type="dxa"/>
            <w:tcBorders>
              <w:top w:val="nil"/>
              <w:left w:val="nil"/>
              <w:bottom w:val="single" w:color="auto" w:sz="4" w:space="0"/>
              <w:right w:val="single" w:color="auto" w:sz="4" w:space="0"/>
            </w:tcBorders>
            <w:shd w:val="clear" w:color="auto" w:fill="auto"/>
            <w:vAlign w:val="center"/>
          </w:tcPr>
          <w:p w14:paraId="664B10F4">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以城市近郊抚河湿地为主体，以坑塘湿地公园为主题，建设郊野生态公园，连通象湖南湿地公园与南昌南外环。项目共修复抚河岸线约12公里，修复湿地总面积约13.07平方公里（其中水域面积约5.8平方公里）。</w:t>
            </w:r>
          </w:p>
        </w:tc>
        <w:tc>
          <w:tcPr>
            <w:tcW w:w="1418" w:type="dxa"/>
            <w:tcBorders>
              <w:top w:val="nil"/>
              <w:left w:val="nil"/>
              <w:bottom w:val="single" w:color="auto" w:sz="4" w:space="0"/>
              <w:right w:val="single" w:color="auto" w:sz="4" w:space="0"/>
            </w:tcBorders>
            <w:shd w:val="clear" w:color="auto" w:fill="auto"/>
            <w:vAlign w:val="center"/>
          </w:tcPr>
          <w:p w14:paraId="6ED45338">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南昌县城市管理局</w:t>
            </w:r>
          </w:p>
        </w:tc>
        <w:tc>
          <w:tcPr>
            <w:tcW w:w="1042" w:type="dxa"/>
            <w:tcBorders>
              <w:top w:val="nil"/>
              <w:left w:val="nil"/>
              <w:bottom w:val="single" w:color="auto" w:sz="4" w:space="0"/>
              <w:right w:val="single" w:color="auto" w:sz="4" w:space="0"/>
            </w:tcBorders>
            <w:shd w:val="clear" w:color="auto" w:fill="auto"/>
            <w:vAlign w:val="center"/>
          </w:tcPr>
          <w:p w14:paraId="3EE6E78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57000</w:t>
            </w:r>
          </w:p>
        </w:tc>
      </w:tr>
      <w:tr w14:paraId="1640164D">
        <w:tblPrEx>
          <w:tblCellMar>
            <w:top w:w="0" w:type="dxa"/>
            <w:left w:w="108" w:type="dxa"/>
            <w:bottom w:w="0" w:type="dxa"/>
            <w:right w:w="108" w:type="dxa"/>
          </w:tblCellMar>
        </w:tblPrEx>
        <w:trPr>
          <w:trHeight w:val="675" w:hRule="atLeast"/>
        </w:trPr>
        <w:tc>
          <w:tcPr>
            <w:tcW w:w="1129" w:type="dxa"/>
            <w:vMerge w:val="continue"/>
            <w:tcBorders>
              <w:top w:val="nil"/>
              <w:left w:val="single" w:color="auto" w:sz="4" w:space="0"/>
              <w:bottom w:val="single" w:color="auto" w:sz="4" w:space="0"/>
              <w:right w:val="single" w:color="auto" w:sz="4" w:space="0"/>
            </w:tcBorders>
            <w:vAlign w:val="center"/>
          </w:tcPr>
          <w:p w14:paraId="160C6136">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1FAFD5F2">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城市公园改造提升项目</w:t>
            </w:r>
          </w:p>
        </w:tc>
        <w:tc>
          <w:tcPr>
            <w:tcW w:w="1418" w:type="dxa"/>
            <w:tcBorders>
              <w:top w:val="nil"/>
              <w:left w:val="nil"/>
              <w:bottom w:val="single" w:color="auto" w:sz="4" w:space="0"/>
              <w:right w:val="single" w:color="auto" w:sz="4" w:space="0"/>
            </w:tcBorders>
            <w:shd w:val="clear" w:color="auto" w:fill="auto"/>
            <w:vAlign w:val="center"/>
          </w:tcPr>
          <w:p w14:paraId="73502288">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小蓝经开区，银三角等</w:t>
            </w:r>
          </w:p>
        </w:tc>
        <w:tc>
          <w:tcPr>
            <w:tcW w:w="6378" w:type="dxa"/>
            <w:tcBorders>
              <w:top w:val="nil"/>
              <w:left w:val="nil"/>
              <w:bottom w:val="single" w:color="auto" w:sz="4" w:space="0"/>
              <w:right w:val="single" w:color="auto" w:sz="4" w:space="0"/>
            </w:tcBorders>
            <w:shd w:val="clear" w:color="auto" w:fill="auto"/>
            <w:vAlign w:val="center"/>
          </w:tcPr>
          <w:p w14:paraId="332949CF">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对玉鸾湖、澄碧湖、梅湖、银湖、莲溪湖等城区内湖绿地公园进行改造提升，结合赣抚水系连通工程，串联城区绿地系统。构建水生植被群落，建设生态浮岛，净化水土水质，恢复陆生植被，建立陆生植被景观带，建设亲水平台和自然植被护岸。</w:t>
            </w:r>
          </w:p>
        </w:tc>
        <w:tc>
          <w:tcPr>
            <w:tcW w:w="1418" w:type="dxa"/>
            <w:tcBorders>
              <w:top w:val="nil"/>
              <w:left w:val="nil"/>
              <w:bottom w:val="single" w:color="auto" w:sz="4" w:space="0"/>
              <w:right w:val="single" w:color="auto" w:sz="4" w:space="0"/>
            </w:tcBorders>
            <w:shd w:val="clear" w:color="auto" w:fill="auto"/>
            <w:vAlign w:val="center"/>
          </w:tcPr>
          <w:p w14:paraId="5D18EDED">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南昌县城市管理局</w:t>
            </w:r>
          </w:p>
        </w:tc>
        <w:tc>
          <w:tcPr>
            <w:tcW w:w="1042" w:type="dxa"/>
            <w:tcBorders>
              <w:top w:val="nil"/>
              <w:left w:val="nil"/>
              <w:bottom w:val="single" w:color="auto" w:sz="4" w:space="0"/>
              <w:right w:val="single" w:color="auto" w:sz="4" w:space="0"/>
            </w:tcBorders>
            <w:shd w:val="clear" w:color="auto" w:fill="auto"/>
            <w:vAlign w:val="center"/>
          </w:tcPr>
          <w:p w14:paraId="5B78B390">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30000</w:t>
            </w:r>
          </w:p>
        </w:tc>
      </w:tr>
      <w:tr w14:paraId="6088038E">
        <w:tblPrEx>
          <w:tblCellMar>
            <w:top w:w="0" w:type="dxa"/>
            <w:left w:w="108" w:type="dxa"/>
            <w:bottom w:w="0" w:type="dxa"/>
            <w:right w:w="108" w:type="dxa"/>
          </w:tblCellMar>
        </w:tblPrEx>
        <w:trPr>
          <w:trHeight w:val="900" w:hRule="atLeast"/>
        </w:trPr>
        <w:tc>
          <w:tcPr>
            <w:tcW w:w="1129" w:type="dxa"/>
            <w:vMerge w:val="continue"/>
            <w:tcBorders>
              <w:top w:val="nil"/>
              <w:left w:val="single" w:color="auto" w:sz="4" w:space="0"/>
              <w:bottom w:val="single" w:color="auto" w:sz="4" w:space="0"/>
              <w:right w:val="single" w:color="auto" w:sz="4" w:space="0"/>
            </w:tcBorders>
            <w:vAlign w:val="center"/>
          </w:tcPr>
          <w:p w14:paraId="54479208">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14A2FF36">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南昌县赣江岸线生态综合治理项目</w:t>
            </w:r>
          </w:p>
        </w:tc>
        <w:tc>
          <w:tcPr>
            <w:tcW w:w="1418" w:type="dxa"/>
            <w:tcBorders>
              <w:top w:val="nil"/>
              <w:left w:val="nil"/>
              <w:bottom w:val="single" w:color="auto" w:sz="4" w:space="0"/>
              <w:right w:val="single" w:color="auto" w:sz="4" w:space="0"/>
            </w:tcBorders>
            <w:shd w:val="clear" w:color="auto" w:fill="auto"/>
            <w:vAlign w:val="center"/>
          </w:tcPr>
          <w:p w14:paraId="2B7D148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富山乡、冈上镇、东新乡、南新乡</w:t>
            </w:r>
          </w:p>
        </w:tc>
        <w:tc>
          <w:tcPr>
            <w:tcW w:w="6378" w:type="dxa"/>
            <w:tcBorders>
              <w:top w:val="nil"/>
              <w:left w:val="nil"/>
              <w:bottom w:val="single" w:color="auto" w:sz="4" w:space="0"/>
              <w:right w:val="single" w:color="auto" w:sz="4" w:space="0"/>
            </w:tcBorders>
            <w:shd w:val="clear" w:color="auto" w:fill="auto"/>
            <w:vAlign w:val="center"/>
          </w:tcPr>
          <w:p w14:paraId="06C363FF">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依托县域生态资源与山水格局，重点开展赣江岸线生态综合整治，规划建设滨江观光绿道2条，共80km；滨水休闲绿道14条，共220km；都市景观绿道10条，共200km；建设邮票绿地148处，总面积78.62公顷。项目的实施将进一步串联县域各城市组团，打造城乡绿地景观体系，改善城市微观生态环境，提高城市景观形象。</w:t>
            </w:r>
          </w:p>
        </w:tc>
        <w:tc>
          <w:tcPr>
            <w:tcW w:w="1418" w:type="dxa"/>
            <w:tcBorders>
              <w:top w:val="nil"/>
              <w:left w:val="nil"/>
              <w:bottom w:val="single" w:color="auto" w:sz="4" w:space="0"/>
              <w:right w:val="single" w:color="auto" w:sz="4" w:space="0"/>
            </w:tcBorders>
            <w:shd w:val="clear" w:color="auto" w:fill="auto"/>
            <w:vAlign w:val="center"/>
          </w:tcPr>
          <w:p w14:paraId="743280FC">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南昌县水利投资有限公司</w:t>
            </w:r>
          </w:p>
        </w:tc>
        <w:tc>
          <w:tcPr>
            <w:tcW w:w="1042" w:type="dxa"/>
            <w:tcBorders>
              <w:top w:val="nil"/>
              <w:left w:val="nil"/>
              <w:bottom w:val="single" w:color="auto" w:sz="4" w:space="0"/>
              <w:right w:val="single" w:color="auto" w:sz="4" w:space="0"/>
            </w:tcBorders>
            <w:shd w:val="clear" w:color="auto" w:fill="auto"/>
            <w:vAlign w:val="center"/>
          </w:tcPr>
          <w:p w14:paraId="32EB458A">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29000</w:t>
            </w:r>
          </w:p>
        </w:tc>
      </w:tr>
      <w:tr w14:paraId="6B7EAAE8">
        <w:tblPrEx>
          <w:tblCellMar>
            <w:top w:w="0" w:type="dxa"/>
            <w:left w:w="108" w:type="dxa"/>
            <w:bottom w:w="0" w:type="dxa"/>
            <w:right w:w="108" w:type="dxa"/>
          </w:tblCellMar>
        </w:tblPrEx>
        <w:trPr>
          <w:trHeight w:val="675" w:hRule="atLeast"/>
        </w:trPr>
        <w:tc>
          <w:tcPr>
            <w:tcW w:w="1129" w:type="dxa"/>
            <w:vMerge w:val="continue"/>
            <w:tcBorders>
              <w:top w:val="nil"/>
              <w:left w:val="single" w:color="auto" w:sz="4" w:space="0"/>
              <w:bottom w:val="single" w:color="auto" w:sz="4" w:space="0"/>
              <w:right w:val="single" w:color="auto" w:sz="4" w:space="0"/>
            </w:tcBorders>
            <w:vAlign w:val="center"/>
          </w:tcPr>
          <w:p w14:paraId="3A404B6B">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03F8C018">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农村人居环境整治提升项目</w:t>
            </w:r>
          </w:p>
        </w:tc>
        <w:tc>
          <w:tcPr>
            <w:tcW w:w="1418" w:type="dxa"/>
            <w:tcBorders>
              <w:top w:val="nil"/>
              <w:left w:val="nil"/>
              <w:bottom w:val="single" w:color="auto" w:sz="4" w:space="0"/>
              <w:right w:val="single" w:color="auto" w:sz="4" w:space="0"/>
            </w:tcBorders>
            <w:shd w:val="clear" w:color="auto" w:fill="auto"/>
            <w:vAlign w:val="center"/>
          </w:tcPr>
          <w:p w14:paraId="5B3D3946">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武阳镇、八一乡、泾口乡、塘南镇等</w:t>
            </w:r>
          </w:p>
        </w:tc>
        <w:tc>
          <w:tcPr>
            <w:tcW w:w="6378" w:type="dxa"/>
            <w:tcBorders>
              <w:top w:val="nil"/>
              <w:left w:val="nil"/>
              <w:bottom w:val="single" w:color="auto" w:sz="4" w:space="0"/>
              <w:right w:val="single" w:color="auto" w:sz="4" w:space="0"/>
            </w:tcBorders>
            <w:shd w:val="clear" w:color="auto" w:fill="auto"/>
            <w:vAlign w:val="center"/>
          </w:tcPr>
          <w:p w14:paraId="66ED3359">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围绕“百园百村”活动，高质量推进2条精品线、53个新农村建设提升点、290个一般村点的整治建设，重点打造南昌县昌万公路、南昌县万八公路等美丽风景示范线。加强农村生活污水处理设施及配套管网建设，重点推进1000人以上村庄和环鄱阳湖300米以内所有村庄的生活污水处理设施建设。</w:t>
            </w:r>
          </w:p>
        </w:tc>
        <w:tc>
          <w:tcPr>
            <w:tcW w:w="1418" w:type="dxa"/>
            <w:tcBorders>
              <w:top w:val="nil"/>
              <w:left w:val="nil"/>
              <w:bottom w:val="single" w:color="auto" w:sz="4" w:space="0"/>
              <w:right w:val="single" w:color="auto" w:sz="4" w:space="0"/>
            </w:tcBorders>
            <w:shd w:val="clear" w:color="auto" w:fill="auto"/>
            <w:vAlign w:val="center"/>
          </w:tcPr>
          <w:p w14:paraId="60EBD992">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南昌县农业农村局</w:t>
            </w:r>
          </w:p>
        </w:tc>
        <w:tc>
          <w:tcPr>
            <w:tcW w:w="1042" w:type="dxa"/>
            <w:tcBorders>
              <w:top w:val="nil"/>
              <w:left w:val="nil"/>
              <w:bottom w:val="single" w:color="auto" w:sz="4" w:space="0"/>
              <w:right w:val="single" w:color="auto" w:sz="4" w:space="0"/>
            </w:tcBorders>
            <w:shd w:val="clear" w:color="auto" w:fill="auto"/>
            <w:vAlign w:val="center"/>
          </w:tcPr>
          <w:p w14:paraId="069ACBFD">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20000</w:t>
            </w:r>
          </w:p>
        </w:tc>
      </w:tr>
      <w:tr w14:paraId="33DCAF3F">
        <w:tblPrEx>
          <w:tblCellMar>
            <w:top w:w="0" w:type="dxa"/>
            <w:left w:w="108" w:type="dxa"/>
            <w:bottom w:w="0" w:type="dxa"/>
            <w:right w:w="108" w:type="dxa"/>
          </w:tblCellMar>
        </w:tblPrEx>
        <w:trPr>
          <w:trHeight w:val="900" w:hRule="atLeast"/>
        </w:trPr>
        <w:tc>
          <w:tcPr>
            <w:tcW w:w="1129" w:type="dxa"/>
            <w:vMerge w:val="continue"/>
            <w:tcBorders>
              <w:top w:val="nil"/>
              <w:left w:val="single" w:color="auto" w:sz="4" w:space="0"/>
              <w:bottom w:val="single" w:color="auto" w:sz="4" w:space="0"/>
              <w:right w:val="single" w:color="auto" w:sz="4" w:space="0"/>
            </w:tcBorders>
            <w:vAlign w:val="center"/>
          </w:tcPr>
          <w:p w14:paraId="01B6B913">
            <w:pPr>
              <w:widowControl/>
              <w:spacing w:before="0" w:after="0" w:line="240" w:lineRule="auto"/>
              <w:ind w:firstLine="0" w:firstLineChars="0"/>
              <w:jc w:val="left"/>
              <w:rPr>
                <w:rFonts w:hAnsi="等线"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4A9D9136">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南昌县农业面源污染防治项目</w:t>
            </w:r>
          </w:p>
        </w:tc>
        <w:tc>
          <w:tcPr>
            <w:tcW w:w="1418" w:type="dxa"/>
            <w:tcBorders>
              <w:top w:val="nil"/>
              <w:left w:val="nil"/>
              <w:bottom w:val="single" w:color="auto" w:sz="4" w:space="0"/>
              <w:right w:val="single" w:color="auto" w:sz="4" w:space="0"/>
            </w:tcBorders>
            <w:shd w:val="clear" w:color="auto" w:fill="auto"/>
            <w:vAlign w:val="center"/>
          </w:tcPr>
          <w:p w14:paraId="16020F08">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蒋巷镇、南新乡、幽兰镇</w:t>
            </w:r>
          </w:p>
        </w:tc>
        <w:tc>
          <w:tcPr>
            <w:tcW w:w="6378" w:type="dxa"/>
            <w:tcBorders>
              <w:top w:val="nil"/>
              <w:left w:val="nil"/>
              <w:bottom w:val="single" w:color="auto" w:sz="4" w:space="0"/>
              <w:right w:val="single" w:color="auto" w:sz="4" w:space="0"/>
            </w:tcBorders>
            <w:shd w:val="clear" w:color="auto" w:fill="auto"/>
            <w:vAlign w:val="center"/>
          </w:tcPr>
          <w:p w14:paraId="444D3EA6">
            <w:pPr>
              <w:widowControl/>
              <w:spacing w:before="0" w:after="0" w:line="240" w:lineRule="auto"/>
              <w:ind w:firstLine="0" w:firstLineChars="0"/>
              <w:jc w:val="left"/>
              <w:rPr>
                <w:rFonts w:hAnsi="等线" w:cs="宋体"/>
                <w:color w:val="000000"/>
                <w:kern w:val="0"/>
                <w:sz w:val="18"/>
                <w:szCs w:val="18"/>
              </w:rPr>
            </w:pPr>
            <w:r>
              <w:rPr>
                <w:rFonts w:hint="eastAsia" w:hAnsi="等线" w:cs="宋体"/>
                <w:color w:val="000000"/>
                <w:kern w:val="0"/>
                <w:sz w:val="18"/>
                <w:szCs w:val="18"/>
              </w:rPr>
              <w:t>重点在蒋巷、武阳各建立</w:t>
            </w:r>
            <w:r>
              <w:rPr>
                <w:rFonts w:hAnsi="等线" w:cs="宋体"/>
                <w:color w:val="000000"/>
                <w:kern w:val="0"/>
                <w:sz w:val="18"/>
                <w:szCs w:val="18"/>
              </w:rPr>
              <w:t>1个千亩以上集中连片的核心示范区，以点带面促进全县秸秆综合利用全面开展。重点解决化肥农药等农业投入品过量使用问题。推广农业清洁生产技术，采用测土配方技术，优化肥料结构，增施有机肥，提高肥料利用率，减少肥料流失。采用秸秆还田、青贮氨化、气化固化等综合利用技术，实现</w:t>
            </w:r>
            <w:r>
              <w:rPr>
                <w:rFonts w:hint="eastAsia" w:hAnsi="等线" w:cs="宋体"/>
                <w:color w:val="000000"/>
                <w:kern w:val="0"/>
                <w:sz w:val="18"/>
                <w:szCs w:val="18"/>
                <w:lang w:eastAsia="zh-CN"/>
              </w:rPr>
              <w:t>秸秆</w:t>
            </w:r>
            <w:r>
              <w:rPr>
                <w:rFonts w:hAnsi="等线" w:cs="宋体"/>
                <w:color w:val="000000"/>
                <w:kern w:val="0"/>
                <w:sz w:val="18"/>
                <w:szCs w:val="18"/>
              </w:rPr>
              <w:t>多层次资源化利用。对与群众生产、生活密切相关的门塘、坑塘进行整治，采取模仿自然湿地系统的人工湿地技术，利用“土壤、微生物、植物”的协调作用，通过过滤、吸附、沉淀、离子交换、植物吸收和微生物分解来实现对农业面源污染的治理</w:t>
            </w:r>
            <w:r>
              <w:rPr>
                <w:rFonts w:hint="eastAsia" w:hAnsi="等线" w:cs="宋体"/>
                <w:color w:val="000000"/>
                <w:kern w:val="0"/>
                <w:sz w:val="18"/>
                <w:szCs w:val="18"/>
              </w:rPr>
              <w:t>。</w:t>
            </w:r>
          </w:p>
        </w:tc>
        <w:tc>
          <w:tcPr>
            <w:tcW w:w="1418" w:type="dxa"/>
            <w:tcBorders>
              <w:top w:val="nil"/>
              <w:left w:val="nil"/>
              <w:bottom w:val="single" w:color="auto" w:sz="4" w:space="0"/>
              <w:right w:val="single" w:color="auto" w:sz="4" w:space="0"/>
            </w:tcBorders>
            <w:shd w:val="clear" w:color="auto" w:fill="auto"/>
            <w:vAlign w:val="center"/>
          </w:tcPr>
          <w:p w14:paraId="65FDD17F">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南昌县农业农村局</w:t>
            </w:r>
          </w:p>
        </w:tc>
        <w:tc>
          <w:tcPr>
            <w:tcW w:w="1042" w:type="dxa"/>
            <w:tcBorders>
              <w:top w:val="nil"/>
              <w:left w:val="nil"/>
              <w:bottom w:val="single" w:color="auto" w:sz="4" w:space="0"/>
              <w:right w:val="single" w:color="auto" w:sz="4" w:space="0"/>
            </w:tcBorders>
            <w:shd w:val="clear" w:color="auto" w:fill="auto"/>
            <w:vAlign w:val="center"/>
          </w:tcPr>
          <w:p w14:paraId="0C60E9DE">
            <w:pPr>
              <w:widowControl/>
              <w:spacing w:before="0" w:after="0" w:line="240" w:lineRule="auto"/>
              <w:ind w:firstLine="0" w:firstLineChars="0"/>
              <w:jc w:val="center"/>
              <w:rPr>
                <w:rFonts w:hAnsi="等线" w:cs="宋体"/>
                <w:color w:val="000000"/>
                <w:kern w:val="0"/>
                <w:sz w:val="18"/>
                <w:szCs w:val="18"/>
              </w:rPr>
            </w:pPr>
            <w:r>
              <w:rPr>
                <w:rFonts w:hint="eastAsia" w:hAnsi="等线" w:cs="宋体"/>
                <w:color w:val="000000"/>
                <w:kern w:val="0"/>
                <w:sz w:val="18"/>
                <w:szCs w:val="18"/>
              </w:rPr>
              <w:t>5000</w:t>
            </w:r>
          </w:p>
        </w:tc>
      </w:tr>
      <w:tr w14:paraId="3DFE5CBC">
        <w:tblPrEx>
          <w:tblCellMar>
            <w:top w:w="0" w:type="dxa"/>
            <w:left w:w="108" w:type="dxa"/>
            <w:bottom w:w="0" w:type="dxa"/>
            <w:right w:w="108" w:type="dxa"/>
          </w:tblCellMar>
        </w:tblPrEx>
        <w:trPr>
          <w:trHeight w:val="285" w:hRule="atLeast"/>
        </w:trPr>
        <w:tc>
          <w:tcPr>
            <w:tcW w:w="1218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97264DC">
            <w:pPr>
              <w:widowControl/>
              <w:spacing w:before="0" w:after="0" w:line="240" w:lineRule="auto"/>
              <w:ind w:firstLine="0" w:firstLineChars="0"/>
              <w:jc w:val="center"/>
              <w:rPr>
                <w:rFonts w:hAnsi="等线" w:cs="宋体"/>
                <w:b/>
                <w:bCs/>
                <w:color w:val="000000"/>
                <w:kern w:val="0"/>
                <w:sz w:val="18"/>
                <w:szCs w:val="18"/>
              </w:rPr>
            </w:pPr>
            <w:r>
              <w:rPr>
                <w:rFonts w:hint="eastAsia" w:hAnsi="等线" w:cs="宋体"/>
                <w:b/>
                <w:bCs/>
                <w:color w:val="000000"/>
                <w:kern w:val="0"/>
                <w:sz w:val="18"/>
                <w:szCs w:val="18"/>
              </w:rPr>
              <w:t>总计</w:t>
            </w:r>
          </w:p>
        </w:tc>
        <w:tc>
          <w:tcPr>
            <w:tcW w:w="1042" w:type="dxa"/>
            <w:tcBorders>
              <w:top w:val="nil"/>
              <w:left w:val="nil"/>
              <w:bottom w:val="single" w:color="auto" w:sz="4" w:space="0"/>
              <w:right w:val="single" w:color="auto" w:sz="4" w:space="0"/>
            </w:tcBorders>
            <w:shd w:val="clear" w:color="auto" w:fill="auto"/>
            <w:vAlign w:val="center"/>
          </w:tcPr>
          <w:p w14:paraId="01071A5B">
            <w:pPr>
              <w:widowControl/>
              <w:spacing w:before="0" w:after="0" w:line="240" w:lineRule="auto"/>
              <w:ind w:firstLine="0" w:firstLineChars="0"/>
              <w:jc w:val="center"/>
              <w:rPr>
                <w:rFonts w:hAnsi="等线" w:cs="宋体"/>
                <w:b/>
                <w:bCs/>
                <w:color w:val="000000"/>
                <w:kern w:val="0"/>
                <w:sz w:val="18"/>
                <w:szCs w:val="18"/>
              </w:rPr>
            </w:pPr>
            <w:r>
              <w:rPr>
                <w:rFonts w:hint="eastAsia" w:hAnsi="等线" w:cs="宋体"/>
                <w:b/>
                <w:bCs/>
                <w:color w:val="000000"/>
                <w:kern w:val="0"/>
                <w:sz w:val="18"/>
                <w:szCs w:val="18"/>
              </w:rPr>
              <w:t>66</w:t>
            </w:r>
            <w:r>
              <w:rPr>
                <w:rFonts w:hAnsi="等线" w:cs="宋体"/>
                <w:b/>
                <w:bCs/>
                <w:color w:val="000000"/>
                <w:kern w:val="0"/>
                <w:sz w:val="18"/>
                <w:szCs w:val="18"/>
              </w:rPr>
              <w:t>6218</w:t>
            </w:r>
          </w:p>
        </w:tc>
      </w:tr>
    </w:tbl>
    <w:p w14:paraId="6AFF6DB9">
      <w:pPr>
        <w:spacing w:before="0" w:after="0"/>
        <w:ind w:firstLine="0" w:firstLineChars="0"/>
        <w:jc w:val="left"/>
        <w:rPr>
          <w:sz w:val="21"/>
          <w:szCs w:val="21"/>
        </w:rPr>
      </w:pPr>
      <w:r>
        <w:rPr>
          <w:rFonts w:hint="eastAsia"/>
          <w:sz w:val="21"/>
          <w:szCs w:val="21"/>
        </w:rPr>
        <w:t>注：表中资金为初步匡算，不作约束性指标。</w:t>
      </w:r>
      <w:bookmarkStart w:id="286" w:name="_Toc86257474"/>
      <w:bookmarkStart w:id="287" w:name="_Toc78481246"/>
      <w:bookmarkStart w:id="288" w:name="_Toc76497703"/>
      <w:r>
        <w:rPr>
          <w:rFonts w:hint="eastAsia"/>
          <w:sz w:val="21"/>
          <w:szCs w:val="21"/>
        </w:rPr>
        <w:t>项目实施由牵头部门和属地乡镇政府负责。</w:t>
      </w:r>
    </w:p>
    <w:p w14:paraId="23F73E42">
      <w:pPr>
        <w:spacing w:before="240" w:after="240" w:line="578" w:lineRule="auto"/>
        <w:ind w:firstLine="0" w:firstLineChars="0"/>
        <w:jc w:val="left"/>
        <w:outlineLvl w:val="0"/>
        <w:rPr>
          <w:sz w:val="21"/>
          <w:szCs w:val="21"/>
        </w:rPr>
      </w:pPr>
      <w:r>
        <w:rPr>
          <w:rFonts w:ascii="黑体" w:hAnsi="黑体" w:eastAsia="黑体"/>
          <w:sz w:val="30"/>
          <w:szCs w:val="30"/>
        </w:rPr>
        <w:br w:type="page"/>
      </w:r>
      <w:bookmarkEnd w:id="286"/>
      <w:bookmarkEnd w:id="287"/>
      <w:bookmarkEnd w:id="288"/>
      <w:bookmarkStart w:id="289" w:name="_Toc86257478"/>
      <w:bookmarkStart w:id="290" w:name="_Toc131005140"/>
      <w:bookmarkStart w:id="291" w:name="_Hlk81214280"/>
      <w:r>
        <w:rPr>
          <w:rFonts w:hint="eastAsia" w:ascii="黑体" w:hAnsi="黑体" w:eastAsia="黑体"/>
          <w:b/>
          <w:bCs/>
          <w:kern w:val="44"/>
          <w:sz w:val="36"/>
          <w:szCs w:val="36"/>
        </w:rPr>
        <w:t>附 图</w:t>
      </w:r>
      <w:bookmarkEnd w:id="289"/>
      <w:bookmarkEnd w:id="290"/>
    </w:p>
    <w:p w14:paraId="739608F9">
      <w:pPr>
        <w:pStyle w:val="3"/>
        <w:spacing w:before="190" w:beforeLines="50" w:after="0" w:line="360" w:lineRule="auto"/>
        <w:ind w:firstLine="0" w:firstLineChars="0"/>
        <w:rPr>
          <w:rFonts w:ascii="黑体" w:hAnsi="黑体" w:eastAsia="黑体"/>
          <w:color w:val="FFFFFF" w:themeColor="background1"/>
          <w:sz w:val="30"/>
          <w:szCs w:val="30"/>
          <w14:textFill>
            <w14:solidFill>
              <w14:schemeClr w14:val="bg1"/>
            </w14:solidFill>
          </w14:textFill>
        </w:rPr>
      </w:pPr>
      <w:bookmarkStart w:id="292" w:name="_Toc86257479"/>
      <w:bookmarkStart w:id="293" w:name="_Toc131005141"/>
      <w:r>
        <w:rPr>
          <w:rFonts w:hint="eastAsia" w:ascii="黑体" w:hAnsi="黑体" w:eastAsia="黑体"/>
          <w:sz w:val="30"/>
          <w:szCs w:val="30"/>
        </w:rPr>
        <w:t>附图1：</w:t>
      </w:r>
      <w:bookmarkEnd w:id="292"/>
      <w:r>
        <w:rPr>
          <w:rFonts w:hint="eastAsia" w:ascii="黑体" w:hAnsi="黑体" w:eastAsia="黑体"/>
          <w:color w:val="FFFFFF" w:themeColor="background1"/>
          <w:sz w:val="30"/>
          <w:szCs w:val="30"/>
          <w14:textFill>
            <w14:solidFill>
              <w14:schemeClr w14:val="bg1"/>
            </w14:solidFill>
          </w14:textFill>
        </w:rPr>
        <w:t>南昌县生态修复总体格局图</w:t>
      </w:r>
      <w:bookmarkEnd w:id="293"/>
    </w:p>
    <w:p w14:paraId="0D91BB13">
      <w:pPr>
        <w:adjustRightInd w:val="0"/>
        <w:spacing w:before="0" w:after="0"/>
        <w:ind w:firstLine="0" w:firstLineChars="0"/>
        <w:jc w:val="center"/>
      </w:pPr>
      <w:r>
        <w:drawing>
          <wp:inline distT="0" distB="0" distL="0" distR="0">
            <wp:extent cx="8315960" cy="11540490"/>
            <wp:effectExtent l="0" t="0" r="8890" b="3810"/>
            <wp:docPr id="9357374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737458" name="图片 2"/>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316000" cy="11541002"/>
                    </a:xfrm>
                    <a:prstGeom prst="rect">
                      <a:avLst/>
                    </a:prstGeom>
                    <a:noFill/>
                    <a:ln>
                      <a:noFill/>
                    </a:ln>
                  </pic:spPr>
                </pic:pic>
              </a:graphicData>
            </a:graphic>
          </wp:inline>
        </w:drawing>
      </w:r>
      <w:r>
        <w:t xml:space="preserve">  </w:t>
      </w:r>
      <w:r>
        <w:br w:type="page"/>
      </w:r>
    </w:p>
    <w:p w14:paraId="2F556C8B">
      <w:pPr>
        <w:pStyle w:val="3"/>
        <w:spacing w:before="190" w:beforeLines="50" w:after="0" w:line="360" w:lineRule="auto"/>
        <w:ind w:firstLine="0" w:firstLineChars="0"/>
        <w:rPr>
          <w:rFonts w:ascii="黑体" w:hAnsi="黑体" w:eastAsia="黑体"/>
          <w:color w:val="FFFFFF" w:themeColor="background1"/>
          <w:sz w:val="30"/>
          <w:szCs w:val="30"/>
          <w14:textFill>
            <w14:solidFill>
              <w14:schemeClr w14:val="bg1"/>
            </w14:solidFill>
          </w14:textFill>
        </w:rPr>
      </w:pPr>
      <w:bookmarkStart w:id="294" w:name="_Toc86257480"/>
      <w:bookmarkStart w:id="295" w:name="_Toc131005142"/>
      <w:r>
        <w:rPr>
          <w:rFonts w:hint="eastAsia" w:ascii="黑体" w:hAnsi="黑体" w:eastAsia="黑体"/>
          <w:sz w:val="30"/>
          <w:szCs w:val="30"/>
        </w:rPr>
        <w:t>附图</w:t>
      </w:r>
      <w:r>
        <w:rPr>
          <w:rFonts w:ascii="黑体" w:hAnsi="黑体" w:eastAsia="黑体"/>
          <w:sz w:val="30"/>
          <w:szCs w:val="30"/>
        </w:rPr>
        <w:t>2</w:t>
      </w:r>
      <w:r>
        <w:rPr>
          <w:rFonts w:hint="eastAsia" w:ascii="黑体" w:hAnsi="黑体" w:eastAsia="黑体"/>
          <w:sz w:val="30"/>
          <w:szCs w:val="30"/>
        </w:rPr>
        <w:t>：</w:t>
      </w:r>
      <w:bookmarkEnd w:id="294"/>
      <w:r>
        <w:rPr>
          <w:rFonts w:hint="eastAsia" w:ascii="黑体" w:hAnsi="黑体" w:eastAsia="黑体"/>
          <w:color w:val="FFFFFF" w:themeColor="background1"/>
          <w:sz w:val="30"/>
          <w:szCs w:val="30"/>
          <w14:textFill>
            <w14:solidFill>
              <w14:schemeClr w14:val="bg1"/>
            </w14:solidFill>
          </w14:textFill>
        </w:rPr>
        <w:t>南昌县生态修复分区图</w:t>
      </w:r>
      <w:bookmarkEnd w:id="295"/>
    </w:p>
    <w:p w14:paraId="4B0A2F29">
      <w:pPr>
        <w:spacing w:before="0" w:after="0"/>
        <w:ind w:firstLine="0" w:firstLineChars="0"/>
      </w:pPr>
      <w:r>
        <w:drawing>
          <wp:inline distT="0" distB="0" distL="0" distR="0">
            <wp:extent cx="8406130" cy="1166431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8406130" cy="11664315"/>
                    </a:xfrm>
                    <a:prstGeom prst="rect">
                      <a:avLst/>
                    </a:prstGeom>
                    <a:noFill/>
                    <a:ln>
                      <a:noFill/>
                    </a:ln>
                  </pic:spPr>
                </pic:pic>
              </a:graphicData>
            </a:graphic>
          </wp:inline>
        </w:drawing>
      </w:r>
      <w:r>
        <w:t xml:space="preserve"> </w:t>
      </w:r>
      <w:r>
        <w:br w:type="page"/>
      </w:r>
    </w:p>
    <w:p w14:paraId="03FC19AC">
      <w:pPr>
        <w:pStyle w:val="3"/>
        <w:spacing w:before="190" w:beforeLines="50" w:after="0" w:line="360" w:lineRule="auto"/>
        <w:ind w:firstLine="0" w:firstLineChars="0"/>
        <w:rPr>
          <w:rFonts w:ascii="黑体" w:hAnsi="黑体" w:eastAsia="黑体"/>
          <w:color w:val="FFFFFF" w:themeColor="background1"/>
          <w:sz w:val="30"/>
          <w:szCs w:val="30"/>
          <w14:textFill>
            <w14:solidFill>
              <w14:schemeClr w14:val="bg1"/>
            </w14:solidFill>
          </w14:textFill>
        </w:rPr>
      </w:pPr>
      <w:bookmarkStart w:id="296" w:name="_Toc86257482"/>
      <w:bookmarkStart w:id="297" w:name="_Toc131005143"/>
      <w:r>
        <w:rPr>
          <w:rFonts w:hint="eastAsia" w:ascii="黑体" w:hAnsi="黑体" w:eastAsia="黑体"/>
          <w:sz w:val="30"/>
          <w:szCs w:val="30"/>
        </w:rPr>
        <w:t>附图</w:t>
      </w:r>
      <w:r>
        <w:rPr>
          <w:rFonts w:ascii="黑体" w:hAnsi="黑体" w:eastAsia="黑体"/>
          <w:sz w:val="30"/>
          <w:szCs w:val="30"/>
        </w:rPr>
        <w:t>3</w:t>
      </w:r>
      <w:r>
        <w:rPr>
          <w:rFonts w:hint="eastAsia" w:ascii="黑体" w:hAnsi="黑体" w:eastAsia="黑体"/>
          <w:sz w:val="30"/>
          <w:szCs w:val="30"/>
        </w:rPr>
        <w:t>：</w:t>
      </w:r>
      <w:bookmarkEnd w:id="296"/>
      <w:r>
        <w:rPr>
          <w:rFonts w:hint="eastAsia" w:ascii="黑体" w:hAnsi="黑体" w:eastAsia="黑体"/>
          <w:color w:val="FFFFFF" w:themeColor="background1"/>
          <w:sz w:val="30"/>
          <w:szCs w:val="30"/>
          <w14:textFill>
            <w14:solidFill>
              <w14:schemeClr w14:val="bg1"/>
            </w14:solidFill>
          </w14:textFill>
        </w:rPr>
        <w:t>南昌县生态修复工程项目布局图</w:t>
      </w:r>
      <w:bookmarkEnd w:id="297"/>
    </w:p>
    <w:p w14:paraId="17EA345D">
      <w:pPr>
        <w:spacing w:before="0" w:after="0"/>
        <w:ind w:firstLine="0" w:firstLineChars="0"/>
      </w:pPr>
      <w:r>
        <w:drawing>
          <wp:inline distT="0" distB="0" distL="0" distR="0">
            <wp:extent cx="8406130" cy="11665585"/>
            <wp:effectExtent l="0" t="0" r="0" b="0"/>
            <wp:docPr id="20649112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911267"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406130" cy="11666085"/>
                    </a:xfrm>
                    <a:prstGeom prst="rect">
                      <a:avLst/>
                    </a:prstGeom>
                    <a:noFill/>
                    <a:ln>
                      <a:noFill/>
                    </a:ln>
                  </pic:spPr>
                </pic:pic>
              </a:graphicData>
            </a:graphic>
          </wp:inline>
        </w:drawing>
      </w:r>
      <w:r>
        <w:br w:type="page"/>
      </w:r>
    </w:p>
    <w:p w14:paraId="37456B94">
      <w:pPr>
        <w:pStyle w:val="3"/>
        <w:spacing w:before="190" w:beforeLines="50" w:after="0" w:line="360" w:lineRule="auto"/>
        <w:ind w:firstLine="0" w:firstLineChars="0"/>
        <w:rPr>
          <w:rFonts w:ascii="黑体" w:hAnsi="黑体" w:eastAsia="黑体"/>
          <w:color w:val="FFFFFF" w:themeColor="background1"/>
          <w:sz w:val="30"/>
          <w:szCs w:val="30"/>
          <w14:textFill>
            <w14:solidFill>
              <w14:schemeClr w14:val="bg1"/>
            </w14:solidFill>
          </w14:textFill>
        </w:rPr>
      </w:pPr>
      <w:bookmarkStart w:id="298" w:name="_Toc86257483"/>
      <w:bookmarkStart w:id="299" w:name="_Toc131005144"/>
      <w:r>
        <w:rPr>
          <w:rFonts w:hint="eastAsia" w:ascii="黑体" w:hAnsi="黑体" w:eastAsia="黑体"/>
          <w:sz w:val="30"/>
          <w:szCs w:val="30"/>
        </w:rPr>
        <w:t>附图</w:t>
      </w:r>
      <w:r>
        <w:rPr>
          <w:rFonts w:ascii="黑体" w:hAnsi="黑体" w:eastAsia="黑体"/>
          <w:sz w:val="30"/>
          <w:szCs w:val="30"/>
        </w:rPr>
        <w:t>4</w:t>
      </w:r>
      <w:r>
        <w:rPr>
          <w:rFonts w:hint="eastAsia" w:ascii="黑体" w:hAnsi="黑体" w:eastAsia="黑体"/>
          <w:sz w:val="30"/>
          <w:szCs w:val="30"/>
        </w:rPr>
        <w:t>：</w:t>
      </w:r>
      <w:bookmarkEnd w:id="298"/>
      <w:r>
        <w:rPr>
          <w:rFonts w:hint="eastAsia" w:ascii="黑体" w:hAnsi="黑体" w:eastAsia="黑体"/>
          <w:color w:val="FFFFFF" w:themeColor="background1"/>
          <w:sz w:val="30"/>
          <w:szCs w:val="30"/>
          <w14:textFill>
            <w14:solidFill>
              <w14:schemeClr w14:val="bg1"/>
            </w14:solidFill>
          </w14:textFill>
        </w:rPr>
        <w:t>南昌县遥感影像图</w:t>
      </w:r>
      <w:bookmarkEnd w:id="299"/>
    </w:p>
    <w:p w14:paraId="2A4F88BA">
      <w:pPr>
        <w:spacing w:before="0" w:after="0"/>
        <w:ind w:firstLine="0" w:firstLineChars="0"/>
        <w:sectPr>
          <w:pgSz w:w="16838" w:h="23811"/>
          <w:pgMar w:top="1440" w:right="1800" w:bottom="1440" w:left="1800" w:header="851" w:footer="992" w:gutter="0"/>
          <w:cols w:space="720" w:num="1"/>
          <w:docGrid w:type="lines" w:linePitch="381" w:charSpace="0"/>
        </w:sectPr>
      </w:pPr>
      <w:r>
        <w:drawing>
          <wp:inline distT="0" distB="0" distL="0" distR="0">
            <wp:extent cx="8406130" cy="11667490"/>
            <wp:effectExtent l="0" t="0" r="0" b="0"/>
            <wp:docPr id="401463532" name="图片 6"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463532" name="图片 6" descr="地图&#10;&#10;描述已自动生成"/>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8406130" cy="11667490"/>
                    </a:xfrm>
                    <a:prstGeom prst="rect">
                      <a:avLst/>
                    </a:prstGeom>
                    <a:noFill/>
                    <a:ln>
                      <a:noFill/>
                    </a:ln>
                  </pic:spPr>
                </pic:pic>
              </a:graphicData>
            </a:graphic>
          </wp:inline>
        </w:drawing>
      </w:r>
    </w:p>
    <w:bookmarkEnd w:id="291"/>
    <w:p w14:paraId="31D3DEA0">
      <w:pPr>
        <w:pStyle w:val="3"/>
        <w:spacing w:before="190" w:beforeLines="50" w:after="0" w:line="360" w:lineRule="auto"/>
        <w:ind w:firstLine="0" w:firstLineChars="0"/>
        <w:rPr>
          <w:rFonts w:ascii="黑体" w:hAnsi="黑体" w:eastAsia="黑体"/>
          <w:color w:val="FFFFFF" w:themeColor="background1"/>
          <w:sz w:val="30"/>
          <w:szCs w:val="30"/>
          <w14:textFill>
            <w14:solidFill>
              <w14:schemeClr w14:val="bg1"/>
            </w14:solidFill>
          </w14:textFill>
        </w:rPr>
      </w:pPr>
      <w:bookmarkStart w:id="300" w:name="_Toc131005145"/>
      <w:r>
        <w:rPr>
          <w:rFonts w:hint="eastAsia" w:ascii="黑体" w:hAnsi="黑体" w:eastAsia="黑体"/>
          <w:sz w:val="30"/>
          <w:szCs w:val="30"/>
        </w:rPr>
        <w:t>附图</w:t>
      </w:r>
      <w:r>
        <w:rPr>
          <w:rFonts w:ascii="黑体" w:hAnsi="黑体" w:eastAsia="黑体"/>
          <w:sz w:val="30"/>
          <w:szCs w:val="30"/>
        </w:rPr>
        <w:t>5</w:t>
      </w:r>
      <w:r>
        <w:rPr>
          <w:rFonts w:hint="eastAsia" w:ascii="黑体" w:hAnsi="黑体" w:eastAsia="黑体"/>
          <w:sz w:val="30"/>
          <w:szCs w:val="30"/>
        </w:rPr>
        <w:t>：</w:t>
      </w:r>
      <w:r>
        <w:rPr>
          <w:rFonts w:hint="eastAsia" w:ascii="黑体" w:hAnsi="黑体" w:eastAsia="黑体"/>
          <w:color w:val="FFFFFF" w:themeColor="background1"/>
          <w:sz w:val="30"/>
          <w:szCs w:val="30"/>
          <w14:textFill>
            <w14:solidFill>
              <w14:schemeClr w14:val="bg1"/>
            </w14:solidFill>
          </w14:textFill>
        </w:rPr>
        <w:t>南昌县国土空间用地现状图</w:t>
      </w:r>
      <w:bookmarkEnd w:id="300"/>
    </w:p>
    <w:p w14:paraId="29C7ED37">
      <w:pPr>
        <w:spacing w:before="0" w:after="0"/>
        <w:ind w:firstLine="0" w:firstLineChars="0"/>
        <w:jc w:val="center"/>
      </w:pPr>
      <w:r>
        <w:drawing>
          <wp:inline distT="0" distB="0" distL="0" distR="0">
            <wp:extent cx="8406130" cy="11667490"/>
            <wp:effectExtent l="0" t="0" r="0" b="0"/>
            <wp:docPr id="65004983" name="图片 7"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4983" name="图片 7" descr="地图&#10;&#10;描述已自动生成"/>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8406130" cy="11667490"/>
                    </a:xfrm>
                    <a:prstGeom prst="rect">
                      <a:avLst/>
                    </a:prstGeom>
                    <a:noFill/>
                    <a:ln>
                      <a:noFill/>
                    </a:ln>
                  </pic:spPr>
                </pic:pic>
              </a:graphicData>
            </a:graphic>
          </wp:inline>
        </w:drawing>
      </w:r>
    </w:p>
    <w:p w14:paraId="438997C5">
      <w:pPr>
        <w:pStyle w:val="3"/>
        <w:spacing w:before="190" w:beforeLines="50" w:after="0" w:line="360" w:lineRule="auto"/>
        <w:ind w:firstLine="0" w:firstLineChars="0"/>
        <w:rPr>
          <w:rFonts w:ascii="黑体" w:hAnsi="黑体" w:eastAsia="黑体"/>
          <w:color w:val="FFFFFF" w:themeColor="background1"/>
          <w:sz w:val="30"/>
          <w:szCs w:val="30"/>
          <w14:textFill>
            <w14:solidFill>
              <w14:schemeClr w14:val="bg1"/>
            </w14:solidFill>
          </w14:textFill>
        </w:rPr>
      </w:pPr>
      <w:bookmarkStart w:id="301" w:name="_Toc98173022"/>
      <w:bookmarkStart w:id="302" w:name="_Toc86257484"/>
      <w:bookmarkStart w:id="303" w:name="_Toc131005146"/>
      <w:r>
        <w:rPr>
          <w:rFonts w:hint="eastAsia" w:ascii="黑体" w:hAnsi="黑体" w:eastAsia="黑体"/>
          <w:sz w:val="30"/>
          <w:szCs w:val="30"/>
        </w:rPr>
        <w:t>附图</w:t>
      </w:r>
      <w:r>
        <w:rPr>
          <w:rFonts w:ascii="黑体" w:hAnsi="黑体" w:eastAsia="黑体"/>
          <w:sz w:val="30"/>
          <w:szCs w:val="30"/>
        </w:rPr>
        <w:t>6</w:t>
      </w:r>
      <w:r>
        <w:rPr>
          <w:rFonts w:hint="eastAsia" w:ascii="黑体" w:hAnsi="黑体" w:eastAsia="黑体"/>
          <w:sz w:val="30"/>
          <w:szCs w:val="30"/>
        </w:rPr>
        <w:t>：</w:t>
      </w:r>
      <w:r>
        <w:rPr>
          <w:rFonts w:hint="eastAsia" w:ascii="黑体" w:hAnsi="黑体" w:eastAsia="黑体"/>
          <w:color w:val="FFFFFF" w:themeColor="background1"/>
          <w:sz w:val="30"/>
          <w:szCs w:val="30"/>
          <w14:textFill>
            <w14:solidFill>
              <w14:schemeClr w14:val="bg1"/>
            </w14:solidFill>
          </w14:textFill>
        </w:rPr>
        <w:t>南昌县</w:t>
      </w:r>
      <w:bookmarkEnd w:id="301"/>
      <w:bookmarkEnd w:id="302"/>
      <w:r>
        <w:rPr>
          <w:rFonts w:hint="eastAsia" w:ascii="黑体" w:hAnsi="黑体" w:eastAsia="黑体"/>
          <w:color w:val="FFFFFF" w:themeColor="background1"/>
          <w:sz w:val="30"/>
          <w:szCs w:val="30"/>
          <w14:textFill>
            <w14:solidFill>
              <w14:schemeClr w14:val="bg1"/>
            </w14:solidFill>
          </w14:textFill>
        </w:rPr>
        <w:t>地形地貌图</w:t>
      </w:r>
      <w:bookmarkEnd w:id="303"/>
    </w:p>
    <w:p w14:paraId="0D344B57">
      <w:pPr>
        <w:spacing w:before="0"/>
        <w:ind w:firstLine="0" w:firstLineChars="0"/>
        <w:jc w:val="center"/>
      </w:pPr>
      <w:r>
        <w:drawing>
          <wp:inline distT="0" distB="0" distL="0" distR="0">
            <wp:extent cx="8406130" cy="11667490"/>
            <wp:effectExtent l="0" t="0" r="0" b="0"/>
            <wp:docPr id="1016381015" name="图片 8"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381015" name="图片 8" descr="地图&#10;&#10;描述已自动生成"/>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8406130" cy="11667490"/>
                    </a:xfrm>
                    <a:prstGeom prst="rect">
                      <a:avLst/>
                    </a:prstGeom>
                    <a:noFill/>
                    <a:ln>
                      <a:noFill/>
                    </a:ln>
                  </pic:spPr>
                </pic:pic>
              </a:graphicData>
            </a:graphic>
          </wp:inline>
        </w:drawing>
      </w:r>
    </w:p>
    <w:p w14:paraId="0DF823EF">
      <w:pPr>
        <w:pStyle w:val="3"/>
        <w:spacing w:before="190" w:beforeLines="50" w:after="0" w:line="360" w:lineRule="auto"/>
        <w:ind w:firstLine="0" w:firstLineChars="0"/>
        <w:rPr>
          <w:rFonts w:ascii="黑体" w:hAnsi="黑体" w:eastAsia="黑体"/>
          <w:color w:val="FFFFFF" w:themeColor="background1"/>
          <w:sz w:val="30"/>
          <w:szCs w:val="30"/>
          <w14:textFill>
            <w14:solidFill>
              <w14:schemeClr w14:val="bg1"/>
            </w14:solidFill>
          </w14:textFill>
        </w:rPr>
      </w:pPr>
      <w:bookmarkStart w:id="304" w:name="_Toc86257485"/>
      <w:bookmarkStart w:id="305" w:name="_Toc98173023"/>
      <w:bookmarkStart w:id="306" w:name="_Toc131005147"/>
      <w:r>
        <w:rPr>
          <w:rFonts w:hint="eastAsia" w:ascii="黑体" w:hAnsi="黑体" w:eastAsia="黑体"/>
          <w:sz w:val="30"/>
          <w:szCs w:val="30"/>
        </w:rPr>
        <w:t>附图</w:t>
      </w:r>
      <w:r>
        <w:rPr>
          <w:rFonts w:ascii="黑体" w:hAnsi="黑体" w:eastAsia="黑体"/>
          <w:sz w:val="30"/>
          <w:szCs w:val="30"/>
        </w:rPr>
        <w:t>7</w:t>
      </w:r>
      <w:r>
        <w:rPr>
          <w:rFonts w:hint="eastAsia" w:ascii="黑体" w:hAnsi="黑体" w:eastAsia="黑体"/>
          <w:sz w:val="30"/>
          <w:szCs w:val="30"/>
        </w:rPr>
        <w:t>：</w:t>
      </w:r>
      <w:r>
        <w:rPr>
          <w:rFonts w:hint="eastAsia" w:ascii="黑体" w:hAnsi="黑体" w:eastAsia="黑体"/>
          <w:color w:val="FFFFFF" w:themeColor="background1"/>
          <w:sz w:val="30"/>
          <w:szCs w:val="30"/>
          <w14:textFill>
            <w14:solidFill>
              <w14:schemeClr w14:val="bg1"/>
            </w14:solidFill>
          </w14:textFill>
        </w:rPr>
        <w:t>南昌县森林资源现状图</w:t>
      </w:r>
      <w:bookmarkEnd w:id="304"/>
      <w:bookmarkEnd w:id="305"/>
      <w:bookmarkEnd w:id="306"/>
    </w:p>
    <w:p w14:paraId="14D3EEB0">
      <w:pPr>
        <w:spacing w:before="0"/>
        <w:ind w:firstLine="0" w:firstLineChars="0"/>
        <w:jc w:val="center"/>
      </w:pPr>
      <w:r>
        <w:drawing>
          <wp:inline distT="0" distB="0" distL="0" distR="0">
            <wp:extent cx="8406130" cy="11667490"/>
            <wp:effectExtent l="0" t="0" r="0" b="0"/>
            <wp:docPr id="1339713176" name="图片 9"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13176" name="图片 9" descr="地图&#10;&#10;描述已自动生成"/>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8406130" cy="11667490"/>
                    </a:xfrm>
                    <a:prstGeom prst="rect">
                      <a:avLst/>
                    </a:prstGeom>
                    <a:noFill/>
                    <a:ln>
                      <a:noFill/>
                    </a:ln>
                  </pic:spPr>
                </pic:pic>
              </a:graphicData>
            </a:graphic>
          </wp:inline>
        </w:drawing>
      </w:r>
    </w:p>
    <w:p w14:paraId="496D2291">
      <w:pPr>
        <w:pStyle w:val="3"/>
        <w:spacing w:before="190" w:beforeLines="50" w:after="0" w:line="360" w:lineRule="auto"/>
        <w:ind w:firstLine="0" w:firstLineChars="0"/>
        <w:rPr>
          <w:rFonts w:ascii="黑体" w:hAnsi="黑体" w:eastAsia="黑体"/>
          <w:color w:val="FFFFFF" w:themeColor="background1"/>
          <w:sz w:val="30"/>
          <w:szCs w:val="30"/>
          <w14:textFill>
            <w14:solidFill>
              <w14:schemeClr w14:val="bg1"/>
            </w14:solidFill>
          </w14:textFill>
        </w:rPr>
      </w:pPr>
      <w:bookmarkStart w:id="307" w:name="_Toc86257486"/>
      <w:bookmarkStart w:id="308" w:name="_Toc131005148"/>
      <w:bookmarkStart w:id="309" w:name="_Toc98173024"/>
      <w:r>
        <w:rPr>
          <w:rFonts w:hint="eastAsia" w:ascii="黑体" w:hAnsi="黑体" w:eastAsia="黑体"/>
          <w:sz w:val="30"/>
          <w:szCs w:val="30"/>
        </w:rPr>
        <w:t>附图</w:t>
      </w:r>
      <w:r>
        <w:rPr>
          <w:rFonts w:ascii="黑体" w:hAnsi="黑体" w:eastAsia="黑体"/>
          <w:sz w:val="30"/>
          <w:szCs w:val="30"/>
        </w:rPr>
        <w:t>8</w:t>
      </w:r>
      <w:r>
        <w:rPr>
          <w:rFonts w:hint="eastAsia" w:ascii="黑体" w:hAnsi="黑体" w:eastAsia="黑体"/>
          <w:sz w:val="30"/>
          <w:szCs w:val="30"/>
        </w:rPr>
        <w:t>：</w:t>
      </w:r>
      <w:r>
        <w:rPr>
          <w:rFonts w:hint="eastAsia" w:ascii="黑体" w:hAnsi="黑体" w:eastAsia="黑体"/>
          <w:color w:val="FFFFFF" w:themeColor="background1"/>
          <w:sz w:val="30"/>
          <w:szCs w:val="30"/>
          <w14:textFill>
            <w14:solidFill>
              <w14:schemeClr w14:val="bg1"/>
            </w14:solidFill>
          </w14:textFill>
        </w:rPr>
        <w:t>南昌县生态功能重要性图</w:t>
      </w:r>
      <w:bookmarkEnd w:id="307"/>
      <w:bookmarkEnd w:id="308"/>
      <w:bookmarkEnd w:id="309"/>
    </w:p>
    <w:p w14:paraId="3D28D85B">
      <w:pPr>
        <w:spacing w:before="0"/>
        <w:ind w:firstLine="0" w:firstLineChars="0"/>
        <w:jc w:val="center"/>
      </w:pPr>
      <w:r>
        <w:drawing>
          <wp:inline distT="0" distB="0" distL="0" distR="0">
            <wp:extent cx="8406130" cy="11667490"/>
            <wp:effectExtent l="0" t="0" r="0" b="0"/>
            <wp:docPr id="370050565" name="图片 10"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50565" name="图片 10" descr="地图&#10;&#10;描述已自动生成"/>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8406130" cy="11667490"/>
                    </a:xfrm>
                    <a:prstGeom prst="rect">
                      <a:avLst/>
                    </a:prstGeom>
                    <a:noFill/>
                    <a:ln>
                      <a:noFill/>
                    </a:ln>
                  </pic:spPr>
                </pic:pic>
              </a:graphicData>
            </a:graphic>
          </wp:inline>
        </w:drawing>
      </w:r>
    </w:p>
    <w:p w14:paraId="7C8920F3">
      <w:pPr>
        <w:spacing w:before="0" w:after="0"/>
        <w:ind w:firstLine="0" w:firstLineChars="0"/>
      </w:pPr>
      <w:r>
        <w:br w:type="page"/>
      </w:r>
    </w:p>
    <w:p w14:paraId="4A9B1255">
      <w:pPr>
        <w:pStyle w:val="3"/>
        <w:spacing w:before="190" w:beforeLines="50" w:after="0" w:line="360" w:lineRule="auto"/>
        <w:ind w:firstLine="0" w:firstLineChars="0"/>
        <w:rPr>
          <w:rFonts w:ascii="黑体" w:hAnsi="黑体" w:eastAsia="黑体"/>
          <w:color w:val="FFFFFF" w:themeColor="background1"/>
          <w:sz w:val="30"/>
          <w:szCs w:val="30"/>
          <w14:textFill>
            <w14:solidFill>
              <w14:schemeClr w14:val="bg1"/>
            </w14:solidFill>
          </w14:textFill>
        </w:rPr>
      </w:pPr>
      <w:bookmarkStart w:id="310" w:name="_Toc98173025"/>
      <w:bookmarkStart w:id="311" w:name="_Toc86257487"/>
      <w:bookmarkStart w:id="312" w:name="_Toc131005149"/>
      <w:r>
        <w:rPr>
          <w:rFonts w:hint="eastAsia" w:ascii="黑体" w:hAnsi="黑体" w:eastAsia="黑体"/>
          <w:sz w:val="30"/>
          <w:szCs w:val="30"/>
        </w:rPr>
        <w:t>附图</w:t>
      </w:r>
      <w:r>
        <w:rPr>
          <w:rFonts w:ascii="黑体" w:hAnsi="黑体" w:eastAsia="黑体"/>
          <w:sz w:val="30"/>
          <w:szCs w:val="30"/>
        </w:rPr>
        <w:t>9</w:t>
      </w:r>
      <w:r>
        <w:rPr>
          <w:rFonts w:hint="eastAsia" w:ascii="黑体" w:hAnsi="黑体" w:eastAsia="黑体"/>
          <w:sz w:val="30"/>
          <w:szCs w:val="30"/>
        </w:rPr>
        <w:t>：</w:t>
      </w:r>
      <w:r>
        <w:rPr>
          <w:rFonts w:hint="eastAsia" w:ascii="黑体" w:hAnsi="黑体" w:eastAsia="黑体"/>
          <w:color w:val="FFFFFF" w:themeColor="background1"/>
          <w:sz w:val="30"/>
          <w:szCs w:val="30"/>
          <w14:textFill>
            <w14:solidFill>
              <w14:schemeClr w14:val="bg1"/>
            </w14:solidFill>
          </w14:textFill>
        </w:rPr>
        <w:t>南昌县生态脆弱性评价图</w:t>
      </w:r>
      <w:bookmarkEnd w:id="310"/>
      <w:bookmarkEnd w:id="311"/>
      <w:bookmarkEnd w:id="312"/>
    </w:p>
    <w:p w14:paraId="7E64BE40">
      <w:pPr>
        <w:spacing w:before="0"/>
        <w:ind w:firstLine="0" w:firstLineChars="0"/>
        <w:jc w:val="center"/>
      </w:pPr>
      <w:r>
        <w:drawing>
          <wp:inline distT="0" distB="0" distL="0" distR="0">
            <wp:extent cx="8406130" cy="11667490"/>
            <wp:effectExtent l="0" t="0" r="0" b="0"/>
            <wp:docPr id="131818998" name="图片 11"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18998" name="图片 11" descr="地图&#10;&#10;描述已自动生成"/>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8406130" cy="11667490"/>
                    </a:xfrm>
                    <a:prstGeom prst="rect">
                      <a:avLst/>
                    </a:prstGeom>
                    <a:noFill/>
                    <a:ln>
                      <a:noFill/>
                    </a:ln>
                  </pic:spPr>
                </pic:pic>
              </a:graphicData>
            </a:graphic>
          </wp:inline>
        </w:drawing>
      </w:r>
    </w:p>
    <w:p w14:paraId="23857D0F">
      <w:pPr>
        <w:pStyle w:val="3"/>
        <w:spacing w:before="190" w:beforeLines="50" w:after="0" w:line="360" w:lineRule="auto"/>
        <w:ind w:firstLine="0" w:firstLineChars="0"/>
        <w:rPr>
          <w:rFonts w:ascii="黑体" w:hAnsi="黑体" w:eastAsia="黑体"/>
          <w:color w:val="FFFFFF" w:themeColor="background1"/>
          <w:sz w:val="30"/>
          <w:szCs w:val="30"/>
          <w14:textFill>
            <w14:solidFill>
              <w14:schemeClr w14:val="bg1"/>
            </w14:solidFill>
          </w14:textFill>
        </w:rPr>
      </w:pPr>
      <w:bookmarkStart w:id="313" w:name="_Toc131005150"/>
      <w:r>
        <w:rPr>
          <w:rFonts w:hint="eastAsia" w:ascii="黑体" w:hAnsi="黑体" w:eastAsia="黑体"/>
          <w:sz w:val="30"/>
          <w:szCs w:val="30"/>
        </w:rPr>
        <w:t>附图</w:t>
      </w:r>
      <w:r>
        <w:rPr>
          <w:rFonts w:ascii="黑体" w:hAnsi="黑体" w:eastAsia="黑体"/>
          <w:sz w:val="30"/>
          <w:szCs w:val="30"/>
        </w:rPr>
        <w:t>10</w:t>
      </w:r>
      <w:r>
        <w:rPr>
          <w:rFonts w:hint="eastAsia" w:ascii="黑体" w:hAnsi="黑体" w:eastAsia="黑体"/>
          <w:sz w:val="30"/>
          <w:szCs w:val="30"/>
        </w:rPr>
        <w:t>：</w:t>
      </w:r>
      <w:r>
        <w:rPr>
          <w:rFonts w:hint="eastAsia" w:ascii="黑体" w:hAnsi="黑体" w:eastAsia="黑体"/>
          <w:color w:val="FFFFFF" w:themeColor="background1"/>
          <w:sz w:val="30"/>
          <w:szCs w:val="30"/>
          <w14:textFill>
            <w14:solidFill>
              <w14:schemeClr w14:val="bg1"/>
            </w14:solidFill>
          </w14:textFill>
        </w:rPr>
        <w:t>南昌县生态保护红线图</w:t>
      </w:r>
      <w:bookmarkEnd w:id="313"/>
    </w:p>
    <w:p w14:paraId="292FAAAC">
      <w:pPr>
        <w:spacing w:before="0"/>
        <w:ind w:firstLine="0" w:firstLineChars="0"/>
        <w:jc w:val="center"/>
      </w:pPr>
      <w:r>
        <w:drawing>
          <wp:inline distT="0" distB="0" distL="0" distR="0">
            <wp:extent cx="8406130" cy="11667490"/>
            <wp:effectExtent l="0" t="0" r="0" b="0"/>
            <wp:docPr id="1677050450" name="图片 12"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50450" name="图片 12" descr="地图&#10;&#10;描述已自动生成"/>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8406130" cy="11667490"/>
                    </a:xfrm>
                    <a:prstGeom prst="rect">
                      <a:avLst/>
                    </a:prstGeom>
                    <a:noFill/>
                    <a:ln>
                      <a:noFill/>
                    </a:ln>
                  </pic:spPr>
                </pic:pic>
              </a:graphicData>
            </a:graphic>
          </wp:inline>
        </w:drawing>
      </w:r>
    </w:p>
    <w:p w14:paraId="4AD23AF2">
      <w:pPr>
        <w:spacing w:before="0" w:after="0"/>
        <w:ind w:firstLine="0" w:firstLineChars="0"/>
      </w:pPr>
    </w:p>
    <w:sectPr>
      <w:pgSz w:w="16838" w:h="23811"/>
      <w:pgMar w:top="1440" w:right="1800" w:bottom="1440" w:left="1800" w:header="851" w:footer="992" w:gutter="0"/>
      <w:cols w:space="720"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Helvetica Neue">
    <w:altName w:val="宋体"/>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599939"/>
    </w:sdtPr>
    <w:sdtContent>
      <w:p w14:paraId="22D76C60">
        <w:pPr>
          <w:pStyle w:val="12"/>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FFF52">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9FDCA">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8553C">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95935" cy="5632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495935" cy="563245"/>
                      </a:xfrm>
                      <a:prstGeom prst="rect">
                        <a:avLst/>
                      </a:prstGeom>
                      <a:noFill/>
                      <a:ln w="6350">
                        <a:noFill/>
                      </a:ln>
                    </wps:spPr>
                    <wps:txbx>
                      <w:txbxContent>
                        <w:p w14:paraId="2D12A7AF">
                          <w:pPr>
                            <w:pStyle w:val="12"/>
                            <w:ind w:firstLine="360"/>
                          </w:pPr>
                          <w:r>
                            <w:fldChar w:fldCharType="begin"/>
                          </w:r>
                          <w:r>
                            <w:instrText xml:space="preserve"> PAGE  \* MERGEFORMAT </w:instrText>
                          </w:r>
                          <w:r>
                            <w:fldChar w:fldCharType="separate"/>
                          </w:r>
                          <w:r>
                            <w:t>5</w:t>
                          </w:r>
                          <w:r>
                            <w:fldChar w:fldCharType="end"/>
                          </w:r>
                        </w:p>
                      </w:txbxContent>
                    </wps:txbx>
                    <wps:bodyPr wrap="square" lIns="0" tIns="0" rIns="0" bIns="0" upright="1"/>
                  </wps:wsp>
                </a:graphicData>
              </a:graphic>
            </wp:anchor>
          </w:drawing>
        </mc:Choice>
        <mc:Fallback>
          <w:pict>
            <v:shape id="_x0000_s1026" o:spid="_x0000_s1026" o:spt="202" type="#_x0000_t202" style="position:absolute;left:0pt;margin-top:0pt;height:44.35pt;width:39.05pt;mso-position-horizontal:center;mso-position-horizontal-relative:margin;z-index:251659264;mso-width-relative:page;mso-height-relative:page;" filled="f" stroked="f" coordsize="21600,21600" o:gfxdata="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CIZE60gAAAAMBAAAPAAAAAAAAAAEAIAAAACIAAABkcnMvZG93&#10;bnJldi54bWxQSwECFAAUAAAACACHTuJAUoT6rs0BAACIAwAADgAAAAAAAAABACAAAAAhAQAAZHJz&#10;L2Uyb0RvYy54bWxQSwUGAAAAAAYABgBZAQAAYAUAAAAA&#10;">
              <v:fill on="f" focussize="0,0"/>
              <v:stroke on="f" weight="0.5pt"/>
              <v:imagedata o:title=""/>
              <o:lock v:ext="edit" aspectratio="f"/>
              <v:textbox inset="0mm,0mm,0mm,0mm">
                <w:txbxContent>
                  <w:p w14:paraId="2D12A7AF">
                    <w:pPr>
                      <w:pStyle w:val="12"/>
                      <w:ind w:firstLine="36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4218891"/>
    </w:sdtPr>
    <w:sdtEndPr>
      <w:rPr>
        <w:rFonts w:ascii="Times New Roman" w:hAnsi="Times New Roman"/>
        <w:sz w:val="21"/>
        <w:szCs w:val="21"/>
      </w:rPr>
    </w:sdtEndPr>
    <w:sdtContent>
      <w:p w14:paraId="26739DF6">
        <w:pPr>
          <w:pStyle w:val="12"/>
          <w:ind w:firstLine="0" w:firstLineChars="0"/>
          <w:jc w:val="center"/>
          <w:rPr>
            <w:rFonts w:ascii="Times New Roman" w:hAnsi="Times New Roman"/>
            <w:sz w:val="21"/>
            <w:szCs w:val="21"/>
          </w:rPr>
        </w:pPr>
        <w:r>
          <w:rPr>
            <w:rFonts w:ascii="Times New Roman" w:hAnsi="Times New Roman"/>
            <w:sz w:val="21"/>
            <w:szCs w:val="21"/>
          </w:rPr>
          <w:fldChar w:fldCharType="begin"/>
        </w:r>
        <w:r>
          <w:rPr>
            <w:rFonts w:ascii="Times New Roman" w:hAnsi="Times New Roman"/>
            <w:sz w:val="21"/>
            <w:szCs w:val="21"/>
          </w:rPr>
          <w:instrText xml:space="preserve">PAGE   \* MERGEFORMAT</w:instrText>
        </w:r>
        <w:r>
          <w:rPr>
            <w:rFonts w:ascii="Times New Roman" w:hAnsi="Times New Roman"/>
            <w:sz w:val="21"/>
            <w:szCs w:val="21"/>
          </w:rPr>
          <w:fldChar w:fldCharType="separate"/>
        </w:r>
        <w:r>
          <w:rPr>
            <w:rFonts w:ascii="Times New Roman" w:hAnsi="Times New Roman"/>
            <w:sz w:val="21"/>
            <w:szCs w:val="21"/>
            <w:lang w:val="zh-CN"/>
          </w:rPr>
          <w:t>2</w:t>
        </w:r>
        <w:r>
          <w:rPr>
            <w:rFonts w:ascii="Times New Roman" w:hAnsi="Times New Roman"/>
            <w:sz w:val="21"/>
            <w:szCs w:val="2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560"/>
      </w:pPr>
      <w:r>
        <w:separator/>
      </w:r>
    </w:p>
  </w:footnote>
  <w:footnote w:type="continuationSeparator" w:id="1">
    <w:p>
      <w:pPr>
        <w:spacing w:before="0" w:after="0"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4AF4E">
    <w:pPr>
      <w:ind w:firstLine="5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3A1B0">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02CB8">
    <w:pPr>
      <w:ind w:firstLine="5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997C8">
    <w:pPr>
      <w:ind w:left="360" w:firstLine="0" w:firstLineChars="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UzMjE0ZWI1MzkyNGY0YTg4NzFjMTAxNTNkZmM1MTkifQ=="/>
  </w:docVars>
  <w:rsids>
    <w:rsidRoot w:val="00F03989"/>
    <w:rsid w:val="000003DE"/>
    <w:rsid w:val="00000673"/>
    <w:rsid w:val="0000069A"/>
    <w:rsid w:val="00000B1B"/>
    <w:rsid w:val="00003886"/>
    <w:rsid w:val="000048D4"/>
    <w:rsid w:val="00004E6E"/>
    <w:rsid w:val="000055F7"/>
    <w:rsid w:val="00005D54"/>
    <w:rsid w:val="000064D6"/>
    <w:rsid w:val="00007FA6"/>
    <w:rsid w:val="00010F30"/>
    <w:rsid w:val="000157C1"/>
    <w:rsid w:val="00015DB3"/>
    <w:rsid w:val="000167DE"/>
    <w:rsid w:val="00016DF7"/>
    <w:rsid w:val="00016E03"/>
    <w:rsid w:val="00017C9B"/>
    <w:rsid w:val="00017DAE"/>
    <w:rsid w:val="00023299"/>
    <w:rsid w:val="00024FF1"/>
    <w:rsid w:val="000260D8"/>
    <w:rsid w:val="00026B64"/>
    <w:rsid w:val="00026D01"/>
    <w:rsid w:val="00026DC7"/>
    <w:rsid w:val="00027EEA"/>
    <w:rsid w:val="0003081E"/>
    <w:rsid w:val="00031B1E"/>
    <w:rsid w:val="00031BD6"/>
    <w:rsid w:val="00035C1B"/>
    <w:rsid w:val="00036995"/>
    <w:rsid w:val="00036CD5"/>
    <w:rsid w:val="000372AE"/>
    <w:rsid w:val="000373CB"/>
    <w:rsid w:val="00037BBF"/>
    <w:rsid w:val="00040EB4"/>
    <w:rsid w:val="00041162"/>
    <w:rsid w:val="00041AC6"/>
    <w:rsid w:val="00041D85"/>
    <w:rsid w:val="00047508"/>
    <w:rsid w:val="00050102"/>
    <w:rsid w:val="000501A6"/>
    <w:rsid w:val="00050FB9"/>
    <w:rsid w:val="00051B17"/>
    <w:rsid w:val="00051C7A"/>
    <w:rsid w:val="00051F94"/>
    <w:rsid w:val="000545D0"/>
    <w:rsid w:val="00055383"/>
    <w:rsid w:val="000558C6"/>
    <w:rsid w:val="0005672F"/>
    <w:rsid w:val="00060CDE"/>
    <w:rsid w:val="00061A80"/>
    <w:rsid w:val="00061D75"/>
    <w:rsid w:val="000642F5"/>
    <w:rsid w:val="00064959"/>
    <w:rsid w:val="000653B7"/>
    <w:rsid w:val="00065AD2"/>
    <w:rsid w:val="000677D7"/>
    <w:rsid w:val="00067D4B"/>
    <w:rsid w:val="00073212"/>
    <w:rsid w:val="00073ADF"/>
    <w:rsid w:val="00073DB2"/>
    <w:rsid w:val="00074418"/>
    <w:rsid w:val="00074F4B"/>
    <w:rsid w:val="0007654D"/>
    <w:rsid w:val="00077BFB"/>
    <w:rsid w:val="00081107"/>
    <w:rsid w:val="000821AE"/>
    <w:rsid w:val="000824CB"/>
    <w:rsid w:val="00082626"/>
    <w:rsid w:val="00082A2A"/>
    <w:rsid w:val="00083A2E"/>
    <w:rsid w:val="00083D10"/>
    <w:rsid w:val="00084D6B"/>
    <w:rsid w:val="00085589"/>
    <w:rsid w:val="000866EB"/>
    <w:rsid w:val="00086C05"/>
    <w:rsid w:val="00087797"/>
    <w:rsid w:val="000902AD"/>
    <w:rsid w:val="000905EE"/>
    <w:rsid w:val="00090C7D"/>
    <w:rsid w:val="00090D8B"/>
    <w:rsid w:val="0009138A"/>
    <w:rsid w:val="00093D29"/>
    <w:rsid w:val="000956B9"/>
    <w:rsid w:val="000958D6"/>
    <w:rsid w:val="00096BB8"/>
    <w:rsid w:val="000978A5"/>
    <w:rsid w:val="000A052D"/>
    <w:rsid w:val="000A3607"/>
    <w:rsid w:val="000A4953"/>
    <w:rsid w:val="000A6785"/>
    <w:rsid w:val="000A6B37"/>
    <w:rsid w:val="000A77F3"/>
    <w:rsid w:val="000B0882"/>
    <w:rsid w:val="000B16A8"/>
    <w:rsid w:val="000B1BA5"/>
    <w:rsid w:val="000B21F9"/>
    <w:rsid w:val="000B2553"/>
    <w:rsid w:val="000B28BF"/>
    <w:rsid w:val="000B456D"/>
    <w:rsid w:val="000B459B"/>
    <w:rsid w:val="000B4781"/>
    <w:rsid w:val="000B5010"/>
    <w:rsid w:val="000C2C25"/>
    <w:rsid w:val="000C5266"/>
    <w:rsid w:val="000C59F6"/>
    <w:rsid w:val="000C7613"/>
    <w:rsid w:val="000D076E"/>
    <w:rsid w:val="000D078F"/>
    <w:rsid w:val="000D12AC"/>
    <w:rsid w:val="000D3E3C"/>
    <w:rsid w:val="000D3F31"/>
    <w:rsid w:val="000D5AB7"/>
    <w:rsid w:val="000D6111"/>
    <w:rsid w:val="000D6619"/>
    <w:rsid w:val="000D6917"/>
    <w:rsid w:val="000D6B42"/>
    <w:rsid w:val="000E0435"/>
    <w:rsid w:val="000E119B"/>
    <w:rsid w:val="000E16AF"/>
    <w:rsid w:val="000E3B3E"/>
    <w:rsid w:val="000E542E"/>
    <w:rsid w:val="000E555A"/>
    <w:rsid w:val="000E5577"/>
    <w:rsid w:val="000E5C4F"/>
    <w:rsid w:val="000E73BE"/>
    <w:rsid w:val="000E7460"/>
    <w:rsid w:val="000E7977"/>
    <w:rsid w:val="000E7A00"/>
    <w:rsid w:val="000F0216"/>
    <w:rsid w:val="000F0FA7"/>
    <w:rsid w:val="000F2265"/>
    <w:rsid w:val="000F536B"/>
    <w:rsid w:val="000F6E04"/>
    <w:rsid w:val="000F78D3"/>
    <w:rsid w:val="00101D31"/>
    <w:rsid w:val="00101FE0"/>
    <w:rsid w:val="00103BDE"/>
    <w:rsid w:val="00103EDE"/>
    <w:rsid w:val="001041C0"/>
    <w:rsid w:val="001060AA"/>
    <w:rsid w:val="00106914"/>
    <w:rsid w:val="00106C66"/>
    <w:rsid w:val="00107B33"/>
    <w:rsid w:val="001106BB"/>
    <w:rsid w:val="00113274"/>
    <w:rsid w:val="00114344"/>
    <w:rsid w:val="00114355"/>
    <w:rsid w:val="001148C9"/>
    <w:rsid w:val="00115056"/>
    <w:rsid w:val="0011622C"/>
    <w:rsid w:val="00117F32"/>
    <w:rsid w:val="00121CDE"/>
    <w:rsid w:val="001230A8"/>
    <w:rsid w:val="00123C07"/>
    <w:rsid w:val="00124EA6"/>
    <w:rsid w:val="00124FD3"/>
    <w:rsid w:val="0012586F"/>
    <w:rsid w:val="00125DF4"/>
    <w:rsid w:val="001261ED"/>
    <w:rsid w:val="00131825"/>
    <w:rsid w:val="0013219B"/>
    <w:rsid w:val="00132E94"/>
    <w:rsid w:val="001340F0"/>
    <w:rsid w:val="00134DAD"/>
    <w:rsid w:val="00135BEA"/>
    <w:rsid w:val="0013638A"/>
    <w:rsid w:val="001363CE"/>
    <w:rsid w:val="001439EB"/>
    <w:rsid w:val="0014442B"/>
    <w:rsid w:val="00144796"/>
    <w:rsid w:val="00144D6B"/>
    <w:rsid w:val="0014539E"/>
    <w:rsid w:val="00145789"/>
    <w:rsid w:val="00145930"/>
    <w:rsid w:val="00146999"/>
    <w:rsid w:val="00152743"/>
    <w:rsid w:val="00153365"/>
    <w:rsid w:val="00153590"/>
    <w:rsid w:val="001558CE"/>
    <w:rsid w:val="00155937"/>
    <w:rsid w:val="001566A8"/>
    <w:rsid w:val="00156C65"/>
    <w:rsid w:val="00157516"/>
    <w:rsid w:val="00162AC7"/>
    <w:rsid w:val="0016433D"/>
    <w:rsid w:val="001644A4"/>
    <w:rsid w:val="0016609F"/>
    <w:rsid w:val="00166C60"/>
    <w:rsid w:val="00172050"/>
    <w:rsid w:val="0017307C"/>
    <w:rsid w:val="00173A4C"/>
    <w:rsid w:val="00174080"/>
    <w:rsid w:val="001745B1"/>
    <w:rsid w:val="00175F89"/>
    <w:rsid w:val="00176050"/>
    <w:rsid w:val="001760D1"/>
    <w:rsid w:val="0017786A"/>
    <w:rsid w:val="001810FB"/>
    <w:rsid w:val="0018196D"/>
    <w:rsid w:val="001839BF"/>
    <w:rsid w:val="00183F50"/>
    <w:rsid w:val="001845B0"/>
    <w:rsid w:val="00184BDE"/>
    <w:rsid w:val="0018603E"/>
    <w:rsid w:val="0018656F"/>
    <w:rsid w:val="00186BF8"/>
    <w:rsid w:val="00187066"/>
    <w:rsid w:val="00187862"/>
    <w:rsid w:val="00187C33"/>
    <w:rsid w:val="00190ED0"/>
    <w:rsid w:val="00190F0E"/>
    <w:rsid w:val="001915C7"/>
    <w:rsid w:val="00192204"/>
    <w:rsid w:val="0019246A"/>
    <w:rsid w:val="00192F7E"/>
    <w:rsid w:val="0019413F"/>
    <w:rsid w:val="00194CC3"/>
    <w:rsid w:val="00194FB0"/>
    <w:rsid w:val="00195A4F"/>
    <w:rsid w:val="00196642"/>
    <w:rsid w:val="00196F7D"/>
    <w:rsid w:val="00197943"/>
    <w:rsid w:val="001A1CA4"/>
    <w:rsid w:val="001A4624"/>
    <w:rsid w:val="001A7FE5"/>
    <w:rsid w:val="001B31DF"/>
    <w:rsid w:val="001B3BAD"/>
    <w:rsid w:val="001B50CE"/>
    <w:rsid w:val="001B55F4"/>
    <w:rsid w:val="001B5622"/>
    <w:rsid w:val="001B5FB9"/>
    <w:rsid w:val="001B7294"/>
    <w:rsid w:val="001B77DF"/>
    <w:rsid w:val="001B7F05"/>
    <w:rsid w:val="001C00AA"/>
    <w:rsid w:val="001C08A0"/>
    <w:rsid w:val="001C0E5A"/>
    <w:rsid w:val="001C11E6"/>
    <w:rsid w:val="001C199D"/>
    <w:rsid w:val="001C1AFA"/>
    <w:rsid w:val="001C1D02"/>
    <w:rsid w:val="001C26BD"/>
    <w:rsid w:val="001C3095"/>
    <w:rsid w:val="001C3B90"/>
    <w:rsid w:val="001C4240"/>
    <w:rsid w:val="001C484B"/>
    <w:rsid w:val="001C58F1"/>
    <w:rsid w:val="001C7716"/>
    <w:rsid w:val="001C7AB1"/>
    <w:rsid w:val="001D0262"/>
    <w:rsid w:val="001D4175"/>
    <w:rsid w:val="001D47BE"/>
    <w:rsid w:val="001D6335"/>
    <w:rsid w:val="001D64DD"/>
    <w:rsid w:val="001D6AA6"/>
    <w:rsid w:val="001D75CF"/>
    <w:rsid w:val="001D7B67"/>
    <w:rsid w:val="001D7CFF"/>
    <w:rsid w:val="001E047C"/>
    <w:rsid w:val="001E279D"/>
    <w:rsid w:val="001E5B84"/>
    <w:rsid w:val="001E6841"/>
    <w:rsid w:val="001E6A68"/>
    <w:rsid w:val="001E6B5C"/>
    <w:rsid w:val="001E73E6"/>
    <w:rsid w:val="001E755E"/>
    <w:rsid w:val="001E7C4A"/>
    <w:rsid w:val="001E7EA6"/>
    <w:rsid w:val="001E7ECA"/>
    <w:rsid w:val="001F02B7"/>
    <w:rsid w:val="001F4F3F"/>
    <w:rsid w:val="001F5E68"/>
    <w:rsid w:val="0020051E"/>
    <w:rsid w:val="00200851"/>
    <w:rsid w:val="0020296A"/>
    <w:rsid w:val="002033B2"/>
    <w:rsid w:val="002035EC"/>
    <w:rsid w:val="00203CEC"/>
    <w:rsid w:val="0020446E"/>
    <w:rsid w:val="00205184"/>
    <w:rsid w:val="00205AA1"/>
    <w:rsid w:val="002071FF"/>
    <w:rsid w:val="002075D8"/>
    <w:rsid w:val="00210EF4"/>
    <w:rsid w:val="00211C11"/>
    <w:rsid w:val="00212991"/>
    <w:rsid w:val="00213005"/>
    <w:rsid w:val="002133AE"/>
    <w:rsid w:val="0021347C"/>
    <w:rsid w:val="00213510"/>
    <w:rsid w:val="002152AC"/>
    <w:rsid w:val="002161DA"/>
    <w:rsid w:val="00217253"/>
    <w:rsid w:val="0022133A"/>
    <w:rsid w:val="00222930"/>
    <w:rsid w:val="002236CD"/>
    <w:rsid w:val="00223A00"/>
    <w:rsid w:val="00223FB8"/>
    <w:rsid w:val="00225A18"/>
    <w:rsid w:val="00227986"/>
    <w:rsid w:val="00227E0A"/>
    <w:rsid w:val="0023040A"/>
    <w:rsid w:val="00232D73"/>
    <w:rsid w:val="0023325C"/>
    <w:rsid w:val="00233D3B"/>
    <w:rsid w:val="00237395"/>
    <w:rsid w:val="00240A18"/>
    <w:rsid w:val="00241D8B"/>
    <w:rsid w:val="00243512"/>
    <w:rsid w:val="0024364C"/>
    <w:rsid w:val="002447FA"/>
    <w:rsid w:val="00246250"/>
    <w:rsid w:val="00246D11"/>
    <w:rsid w:val="00247395"/>
    <w:rsid w:val="0025007A"/>
    <w:rsid w:val="0025045A"/>
    <w:rsid w:val="00251642"/>
    <w:rsid w:val="00252BD1"/>
    <w:rsid w:val="00255644"/>
    <w:rsid w:val="00256D07"/>
    <w:rsid w:val="0025788F"/>
    <w:rsid w:val="002601B7"/>
    <w:rsid w:val="002605BA"/>
    <w:rsid w:val="00261B36"/>
    <w:rsid w:val="00261DCB"/>
    <w:rsid w:val="0026281C"/>
    <w:rsid w:val="00262AB1"/>
    <w:rsid w:val="002643D3"/>
    <w:rsid w:val="002648C4"/>
    <w:rsid w:val="002650A4"/>
    <w:rsid w:val="00265537"/>
    <w:rsid w:val="0026600F"/>
    <w:rsid w:val="002666B8"/>
    <w:rsid w:val="00266FB9"/>
    <w:rsid w:val="002715E1"/>
    <w:rsid w:val="00272386"/>
    <w:rsid w:val="002754EB"/>
    <w:rsid w:val="00275D2B"/>
    <w:rsid w:val="002768DD"/>
    <w:rsid w:val="00276CA1"/>
    <w:rsid w:val="00277A18"/>
    <w:rsid w:val="00280F1D"/>
    <w:rsid w:val="00281173"/>
    <w:rsid w:val="002818FD"/>
    <w:rsid w:val="002827E5"/>
    <w:rsid w:val="00283EB0"/>
    <w:rsid w:val="00283EDD"/>
    <w:rsid w:val="00285DC0"/>
    <w:rsid w:val="00286EFD"/>
    <w:rsid w:val="0028761C"/>
    <w:rsid w:val="00291952"/>
    <w:rsid w:val="00292177"/>
    <w:rsid w:val="00292AB3"/>
    <w:rsid w:val="00293CF1"/>
    <w:rsid w:val="002942CA"/>
    <w:rsid w:val="00294CC1"/>
    <w:rsid w:val="00295B5E"/>
    <w:rsid w:val="00295C88"/>
    <w:rsid w:val="00295D4C"/>
    <w:rsid w:val="002961D3"/>
    <w:rsid w:val="0029628A"/>
    <w:rsid w:val="00296E44"/>
    <w:rsid w:val="00297EF3"/>
    <w:rsid w:val="002A07F8"/>
    <w:rsid w:val="002A3082"/>
    <w:rsid w:val="002A34FB"/>
    <w:rsid w:val="002A3FE5"/>
    <w:rsid w:val="002A7C6F"/>
    <w:rsid w:val="002B0144"/>
    <w:rsid w:val="002B02C0"/>
    <w:rsid w:val="002B0AAC"/>
    <w:rsid w:val="002B0AEA"/>
    <w:rsid w:val="002B0BC0"/>
    <w:rsid w:val="002B18B4"/>
    <w:rsid w:val="002B1DC1"/>
    <w:rsid w:val="002B1F3F"/>
    <w:rsid w:val="002B248D"/>
    <w:rsid w:val="002B2EED"/>
    <w:rsid w:val="002B2F62"/>
    <w:rsid w:val="002B375B"/>
    <w:rsid w:val="002B38AE"/>
    <w:rsid w:val="002B52C6"/>
    <w:rsid w:val="002B6513"/>
    <w:rsid w:val="002B6BB3"/>
    <w:rsid w:val="002C0BB7"/>
    <w:rsid w:val="002C1327"/>
    <w:rsid w:val="002C1650"/>
    <w:rsid w:val="002C264C"/>
    <w:rsid w:val="002C301D"/>
    <w:rsid w:val="002C319D"/>
    <w:rsid w:val="002C3AC1"/>
    <w:rsid w:val="002C465B"/>
    <w:rsid w:val="002C53BE"/>
    <w:rsid w:val="002C6612"/>
    <w:rsid w:val="002C7FEC"/>
    <w:rsid w:val="002D2AA2"/>
    <w:rsid w:val="002D2D4D"/>
    <w:rsid w:val="002D2EA3"/>
    <w:rsid w:val="002D3579"/>
    <w:rsid w:val="002D3A8A"/>
    <w:rsid w:val="002D58BC"/>
    <w:rsid w:val="002D5E8A"/>
    <w:rsid w:val="002D71CD"/>
    <w:rsid w:val="002D7602"/>
    <w:rsid w:val="002D77A7"/>
    <w:rsid w:val="002E0767"/>
    <w:rsid w:val="002E0B5C"/>
    <w:rsid w:val="002E22BB"/>
    <w:rsid w:val="002E2979"/>
    <w:rsid w:val="002E2E38"/>
    <w:rsid w:val="002E3B64"/>
    <w:rsid w:val="002E42C7"/>
    <w:rsid w:val="002E4F3D"/>
    <w:rsid w:val="002E5F82"/>
    <w:rsid w:val="002E6515"/>
    <w:rsid w:val="002E6B8F"/>
    <w:rsid w:val="002E7B8D"/>
    <w:rsid w:val="002F0612"/>
    <w:rsid w:val="002F09D5"/>
    <w:rsid w:val="002F21E4"/>
    <w:rsid w:val="002F22AB"/>
    <w:rsid w:val="002F4CCE"/>
    <w:rsid w:val="002F56AD"/>
    <w:rsid w:val="002F5A76"/>
    <w:rsid w:val="002F5BCC"/>
    <w:rsid w:val="0030042E"/>
    <w:rsid w:val="0030136A"/>
    <w:rsid w:val="00302AE3"/>
    <w:rsid w:val="00303153"/>
    <w:rsid w:val="00303938"/>
    <w:rsid w:val="00303A62"/>
    <w:rsid w:val="00303A67"/>
    <w:rsid w:val="003041EF"/>
    <w:rsid w:val="00304DF0"/>
    <w:rsid w:val="003067C8"/>
    <w:rsid w:val="00306B35"/>
    <w:rsid w:val="00312ABA"/>
    <w:rsid w:val="00312ABB"/>
    <w:rsid w:val="003140D6"/>
    <w:rsid w:val="00316634"/>
    <w:rsid w:val="0031726A"/>
    <w:rsid w:val="00317C33"/>
    <w:rsid w:val="00320612"/>
    <w:rsid w:val="00320E3F"/>
    <w:rsid w:val="0032123D"/>
    <w:rsid w:val="00321526"/>
    <w:rsid w:val="0032199C"/>
    <w:rsid w:val="00324584"/>
    <w:rsid w:val="0032536F"/>
    <w:rsid w:val="00327246"/>
    <w:rsid w:val="003302CF"/>
    <w:rsid w:val="003305F0"/>
    <w:rsid w:val="00330A46"/>
    <w:rsid w:val="00330C89"/>
    <w:rsid w:val="003328F7"/>
    <w:rsid w:val="00333AD9"/>
    <w:rsid w:val="003342FF"/>
    <w:rsid w:val="0033483D"/>
    <w:rsid w:val="003351AA"/>
    <w:rsid w:val="00335EA2"/>
    <w:rsid w:val="00336F01"/>
    <w:rsid w:val="003405C6"/>
    <w:rsid w:val="00340868"/>
    <w:rsid w:val="00340C27"/>
    <w:rsid w:val="0034111F"/>
    <w:rsid w:val="003413B8"/>
    <w:rsid w:val="00341997"/>
    <w:rsid w:val="00341B44"/>
    <w:rsid w:val="00342816"/>
    <w:rsid w:val="00343FFC"/>
    <w:rsid w:val="003446F9"/>
    <w:rsid w:val="00344901"/>
    <w:rsid w:val="003457F5"/>
    <w:rsid w:val="003519B8"/>
    <w:rsid w:val="00352298"/>
    <w:rsid w:val="003526BB"/>
    <w:rsid w:val="00352724"/>
    <w:rsid w:val="0035397A"/>
    <w:rsid w:val="00354C8A"/>
    <w:rsid w:val="003558CF"/>
    <w:rsid w:val="00355B55"/>
    <w:rsid w:val="00355D1C"/>
    <w:rsid w:val="00356B84"/>
    <w:rsid w:val="0036040B"/>
    <w:rsid w:val="00360A15"/>
    <w:rsid w:val="00360CC9"/>
    <w:rsid w:val="00360E28"/>
    <w:rsid w:val="00362F6D"/>
    <w:rsid w:val="003637B1"/>
    <w:rsid w:val="0036497E"/>
    <w:rsid w:val="00364F57"/>
    <w:rsid w:val="00365FB2"/>
    <w:rsid w:val="00366BAE"/>
    <w:rsid w:val="003677FA"/>
    <w:rsid w:val="00367A34"/>
    <w:rsid w:val="0037098F"/>
    <w:rsid w:val="00371F36"/>
    <w:rsid w:val="003721B0"/>
    <w:rsid w:val="00373C05"/>
    <w:rsid w:val="003741D3"/>
    <w:rsid w:val="00374E97"/>
    <w:rsid w:val="00375149"/>
    <w:rsid w:val="003757C3"/>
    <w:rsid w:val="003759D1"/>
    <w:rsid w:val="003765AA"/>
    <w:rsid w:val="003770DE"/>
    <w:rsid w:val="00377914"/>
    <w:rsid w:val="00380380"/>
    <w:rsid w:val="00380E43"/>
    <w:rsid w:val="003815C6"/>
    <w:rsid w:val="00382143"/>
    <w:rsid w:val="00386339"/>
    <w:rsid w:val="0038743E"/>
    <w:rsid w:val="00387C2A"/>
    <w:rsid w:val="00387C85"/>
    <w:rsid w:val="003902A8"/>
    <w:rsid w:val="003910A2"/>
    <w:rsid w:val="003912E8"/>
    <w:rsid w:val="00391F9E"/>
    <w:rsid w:val="00391FF7"/>
    <w:rsid w:val="00392CB3"/>
    <w:rsid w:val="00393358"/>
    <w:rsid w:val="00393FCE"/>
    <w:rsid w:val="00395984"/>
    <w:rsid w:val="003974C3"/>
    <w:rsid w:val="003976BA"/>
    <w:rsid w:val="00397B00"/>
    <w:rsid w:val="003A0460"/>
    <w:rsid w:val="003A0694"/>
    <w:rsid w:val="003A0738"/>
    <w:rsid w:val="003A1A7B"/>
    <w:rsid w:val="003A33A2"/>
    <w:rsid w:val="003A4F1E"/>
    <w:rsid w:val="003A6814"/>
    <w:rsid w:val="003A6FE8"/>
    <w:rsid w:val="003A7129"/>
    <w:rsid w:val="003B08FA"/>
    <w:rsid w:val="003B24AE"/>
    <w:rsid w:val="003B390C"/>
    <w:rsid w:val="003B39EC"/>
    <w:rsid w:val="003B45D6"/>
    <w:rsid w:val="003B4E1B"/>
    <w:rsid w:val="003B73BD"/>
    <w:rsid w:val="003B7C5A"/>
    <w:rsid w:val="003C20DB"/>
    <w:rsid w:val="003C220E"/>
    <w:rsid w:val="003C2399"/>
    <w:rsid w:val="003C417D"/>
    <w:rsid w:val="003C4BCD"/>
    <w:rsid w:val="003C4DBC"/>
    <w:rsid w:val="003C4E9B"/>
    <w:rsid w:val="003C4EAA"/>
    <w:rsid w:val="003C5E0F"/>
    <w:rsid w:val="003C712B"/>
    <w:rsid w:val="003C77EB"/>
    <w:rsid w:val="003D027C"/>
    <w:rsid w:val="003D27E3"/>
    <w:rsid w:val="003D28E5"/>
    <w:rsid w:val="003D297E"/>
    <w:rsid w:val="003D75C3"/>
    <w:rsid w:val="003D798F"/>
    <w:rsid w:val="003E0428"/>
    <w:rsid w:val="003E082B"/>
    <w:rsid w:val="003E1168"/>
    <w:rsid w:val="003E12A1"/>
    <w:rsid w:val="003E4552"/>
    <w:rsid w:val="003E5399"/>
    <w:rsid w:val="003E5A55"/>
    <w:rsid w:val="003E63BF"/>
    <w:rsid w:val="003E7D8B"/>
    <w:rsid w:val="003F123F"/>
    <w:rsid w:val="003F3AEA"/>
    <w:rsid w:val="003F4720"/>
    <w:rsid w:val="003F478C"/>
    <w:rsid w:val="003F74D0"/>
    <w:rsid w:val="004006AB"/>
    <w:rsid w:val="00400D1E"/>
    <w:rsid w:val="004015D7"/>
    <w:rsid w:val="004028C8"/>
    <w:rsid w:val="0040481D"/>
    <w:rsid w:val="00405B2A"/>
    <w:rsid w:val="00405FB5"/>
    <w:rsid w:val="0040605B"/>
    <w:rsid w:val="0040698B"/>
    <w:rsid w:val="00410952"/>
    <w:rsid w:val="00411F13"/>
    <w:rsid w:val="00412196"/>
    <w:rsid w:val="00412F05"/>
    <w:rsid w:val="004134E6"/>
    <w:rsid w:val="00413560"/>
    <w:rsid w:val="004146EE"/>
    <w:rsid w:val="00415664"/>
    <w:rsid w:val="00415DAC"/>
    <w:rsid w:val="004171F2"/>
    <w:rsid w:val="0042094B"/>
    <w:rsid w:val="00420C4B"/>
    <w:rsid w:val="004215EA"/>
    <w:rsid w:val="00422667"/>
    <w:rsid w:val="00422C71"/>
    <w:rsid w:val="00422D62"/>
    <w:rsid w:val="00423596"/>
    <w:rsid w:val="0042359B"/>
    <w:rsid w:val="00430F86"/>
    <w:rsid w:val="004332E5"/>
    <w:rsid w:val="00433AC6"/>
    <w:rsid w:val="00434908"/>
    <w:rsid w:val="00435A9C"/>
    <w:rsid w:val="00436AC5"/>
    <w:rsid w:val="00440469"/>
    <w:rsid w:val="004411E1"/>
    <w:rsid w:val="004413D1"/>
    <w:rsid w:val="0044176C"/>
    <w:rsid w:val="00441E1F"/>
    <w:rsid w:val="00442B7F"/>
    <w:rsid w:val="00443DF8"/>
    <w:rsid w:val="004443C4"/>
    <w:rsid w:val="0044757F"/>
    <w:rsid w:val="004477C1"/>
    <w:rsid w:val="00447BFA"/>
    <w:rsid w:val="00447D3B"/>
    <w:rsid w:val="00450568"/>
    <w:rsid w:val="00451F8C"/>
    <w:rsid w:val="00452EB2"/>
    <w:rsid w:val="00453DBC"/>
    <w:rsid w:val="0045440E"/>
    <w:rsid w:val="00454545"/>
    <w:rsid w:val="00454A6D"/>
    <w:rsid w:val="00455293"/>
    <w:rsid w:val="004557AA"/>
    <w:rsid w:val="00455ECD"/>
    <w:rsid w:val="00456749"/>
    <w:rsid w:val="00456880"/>
    <w:rsid w:val="0046050D"/>
    <w:rsid w:val="00461504"/>
    <w:rsid w:val="00461759"/>
    <w:rsid w:val="00462675"/>
    <w:rsid w:val="00462A1D"/>
    <w:rsid w:val="0046342B"/>
    <w:rsid w:val="00463E8E"/>
    <w:rsid w:val="0046405E"/>
    <w:rsid w:val="00464DCE"/>
    <w:rsid w:val="0046529A"/>
    <w:rsid w:val="004653C3"/>
    <w:rsid w:val="004664D6"/>
    <w:rsid w:val="00466C3D"/>
    <w:rsid w:val="004678CB"/>
    <w:rsid w:val="00467EBA"/>
    <w:rsid w:val="00467F01"/>
    <w:rsid w:val="00467F72"/>
    <w:rsid w:val="004701AF"/>
    <w:rsid w:val="004708E0"/>
    <w:rsid w:val="0047120E"/>
    <w:rsid w:val="004713F7"/>
    <w:rsid w:val="00471D55"/>
    <w:rsid w:val="004722BF"/>
    <w:rsid w:val="004724E5"/>
    <w:rsid w:val="00472D61"/>
    <w:rsid w:val="0047357D"/>
    <w:rsid w:val="004750F4"/>
    <w:rsid w:val="004751B6"/>
    <w:rsid w:val="004758F6"/>
    <w:rsid w:val="0048158A"/>
    <w:rsid w:val="0048315F"/>
    <w:rsid w:val="00484C76"/>
    <w:rsid w:val="004854D3"/>
    <w:rsid w:val="00485BB1"/>
    <w:rsid w:val="00485EFC"/>
    <w:rsid w:val="004865A5"/>
    <w:rsid w:val="00486A50"/>
    <w:rsid w:val="00486E1D"/>
    <w:rsid w:val="00487276"/>
    <w:rsid w:val="0049022C"/>
    <w:rsid w:val="00490453"/>
    <w:rsid w:val="004919A9"/>
    <w:rsid w:val="004919FC"/>
    <w:rsid w:val="00493DB5"/>
    <w:rsid w:val="00494236"/>
    <w:rsid w:val="004971BD"/>
    <w:rsid w:val="004A1368"/>
    <w:rsid w:val="004A185E"/>
    <w:rsid w:val="004A3B9C"/>
    <w:rsid w:val="004A4592"/>
    <w:rsid w:val="004A57A3"/>
    <w:rsid w:val="004A6460"/>
    <w:rsid w:val="004A6641"/>
    <w:rsid w:val="004A71E5"/>
    <w:rsid w:val="004B086E"/>
    <w:rsid w:val="004B0B49"/>
    <w:rsid w:val="004B1132"/>
    <w:rsid w:val="004B26B8"/>
    <w:rsid w:val="004B384A"/>
    <w:rsid w:val="004B4657"/>
    <w:rsid w:val="004B5614"/>
    <w:rsid w:val="004B7AB4"/>
    <w:rsid w:val="004C0153"/>
    <w:rsid w:val="004C1128"/>
    <w:rsid w:val="004C1372"/>
    <w:rsid w:val="004C2DF1"/>
    <w:rsid w:val="004C3397"/>
    <w:rsid w:val="004C3855"/>
    <w:rsid w:val="004C48D9"/>
    <w:rsid w:val="004C4B07"/>
    <w:rsid w:val="004C7095"/>
    <w:rsid w:val="004C7867"/>
    <w:rsid w:val="004C7DFE"/>
    <w:rsid w:val="004D20C1"/>
    <w:rsid w:val="004D23A1"/>
    <w:rsid w:val="004D333C"/>
    <w:rsid w:val="004D3DCB"/>
    <w:rsid w:val="004D3F13"/>
    <w:rsid w:val="004D60D3"/>
    <w:rsid w:val="004D60F8"/>
    <w:rsid w:val="004D6788"/>
    <w:rsid w:val="004D7015"/>
    <w:rsid w:val="004D7688"/>
    <w:rsid w:val="004E007F"/>
    <w:rsid w:val="004E100F"/>
    <w:rsid w:val="004E298C"/>
    <w:rsid w:val="004E2B09"/>
    <w:rsid w:val="004E2BD9"/>
    <w:rsid w:val="004E2F08"/>
    <w:rsid w:val="004E4E8E"/>
    <w:rsid w:val="004E6688"/>
    <w:rsid w:val="004F0F5E"/>
    <w:rsid w:val="004F1E54"/>
    <w:rsid w:val="004F1FCA"/>
    <w:rsid w:val="004F2A67"/>
    <w:rsid w:val="004F44F3"/>
    <w:rsid w:val="004F5117"/>
    <w:rsid w:val="004F6A4C"/>
    <w:rsid w:val="00500973"/>
    <w:rsid w:val="00500AEB"/>
    <w:rsid w:val="00502244"/>
    <w:rsid w:val="00502474"/>
    <w:rsid w:val="00502DEE"/>
    <w:rsid w:val="00503069"/>
    <w:rsid w:val="00504438"/>
    <w:rsid w:val="00504BDE"/>
    <w:rsid w:val="005054A6"/>
    <w:rsid w:val="00506242"/>
    <w:rsid w:val="00506C21"/>
    <w:rsid w:val="0050729B"/>
    <w:rsid w:val="00507A80"/>
    <w:rsid w:val="0051056A"/>
    <w:rsid w:val="0051211E"/>
    <w:rsid w:val="00512BAD"/>
    <w:rsid w:val="00512F6C"/>
    <w:rsid w:val="005138EE"/>
    <w:rsid w:val="00513B5C"/>
    <w:rsid w:val="00514BF4"/>
    <w:rsid w:val="005169FE"/>
    <w:rsid w:val="00517660"/>
    <w:rsid w:val="00517B59"/>
    <w:rsid w:val="00520953"/>
    <w:rsid w:val="00520A22"/>
    <w:rsid w:val="005211FC"/>
    <w:rsid w:val="00523584"/>
    <w:rsid w:val="00523739"/>
    <w:rsid w:val="00523A53"/>
    <w:rsid w:val="00524B9C"/>
    <w:rsid w:val="0052654F"/>
    <w:rsid w:val="005267D0"/>
    <w:rsid w:val="00527888"/>
    <w:rsid w:val="00527FBB"/>
    <w:rsid w:val="00531161"/>
    <w:rsid w:val="00531A9F"/>
    <w:rsid w:val="00532049"/>
    <w:rsid w:val="0053206B"/>
    <w:rsid w:val="005321BC"/>
    <w:rsid w:val="005326C6"/>
    <w:rsid w:val="00533155"/>
    <w:rsid w:val="00534BD5"/>
    <w:rsid w:val="0053599B"/>
    <w:rsid w:val="00535CB2"/>
    <w:rsid w:val="00536D72"/>
    <w:rsid w:val="0053796F"/>
    <w:rsid w:val="005407FC"/>
    <w:rsid w:val="005410BC"/>
    <w:rsid w:val="005413FD"/>
    <w:rsid w:val="005415D7"/>
    <w:rsid w:val="00541B31"/>
    <w:rsid w:val="005427CA"/>
    <w:rsid w:val="005448B7"/>
    <w:rsid w:val="00545165"/>
    <w:rsid w:val="00545374"/>
    <w:rsid w:val="00546959"/>
    <w:rsid w:val="00546ACA"/>
    <w:rsid w:val="00546D76"/>
    <w:rsid w:val="00547736"/>
    <w:rsid w:val="005501E1"/>
    <w:rsid w:val="005502A2"/>
    <w:rsid w:val="00551A25"/>
    <w:rsid w:val="00552731"/>
    <w:rsid w:val="00554A3C"/>
    <w:rsid w:val="00555FD7"/>
    <w:rsid w:val="00557717"/>
    <w:rsid w:val="00557DF3"/>
    <w:rsid w:val="00560496"/>
    <w:rsid w:val="00562B1C"/>
    <w:rsid w:val="00562F48"/>
    <w:rsid w:val="005632C2"/>
    <w:rsid w:val="0056363E"/>
    <w:rsid w:val="00566418"/>
    <w:rsid w:val="005670B0"/>
    <w:rsid w:val="00567448"/>
    <w:rsid w:val="005703FF"/>
    <w:rsid w:val="00571F7E"/>
    <w:rsid w:val="0057212E"/>
    <w:rsid w:val="00572193"/>
    <w:rsid w:val="005723C3"/>
    <w:rsid w:val="00572E6C"/>
    <w:rsid w:val="00574278"/>
    <w:rsid w:val="00574A16"/>
    <w:rsid w:val="005809C4"/>
    <w:rsid w:val="00581561"/>
    <w:rsid w:val="005819CE"/>
    <w:rsid w:val="00581BC3"/>
    <w:rsid w:val="00581C21"/>
    <w:rsid w:val="00584049"/>
    <w:rsid w:val="00584E15"/>
    <w:rsid w:val="00584E65"/>
    <w:rsid w:val="00585EF1"/>
    <w:rsid w:val="00590522"/>
    <w:rsid w:val="00590CEE"/>
    <w:rsid w:val="00591557"/>
    <w:rsid w:val="00593B36"/>
    <w:rsid w:val="005941DA"/>
    <w:rsid w:val="0059616D"/>
    <w:rsid w:val="00596384"/>
    <w:rsid w:val="00597CFB"/>
    <w:rsid w:val="005A09E1"/>
    <w:rsid w:val="005A0C57"/>
    <w:rsid w:val="005A1201"/>
    <w:rsid w:val="005A319C"/>
    <w:rsid w:val="005A369B"/>
    <w:rsid w:val="005A6A3C"/>
    <w:rsid w:val="005B0D8D"/>
    <w:rsid w:val="005B0F56"/>
    <w:rsid w:val="005B32F3"/>
    <w:rsid w:val="005B3F42"/>
    <w:rsid w:val="005B5FF9"/>
    <w:rsid w:val="005B6C91"/>
    <w:rsid w:val="005B7347"/>
    <w:rsid w:val="005C0AE2"/>
    <w:rsid w:val="005C0DDB"/>
    <w:rsid w:val="005C11F6"/>
    <w:rsid w:val="005C2C7A"/>
    <w:rsid w:val="005C3B24"/>
    <w:rsid w:val="005C4CD8"/>
    <w:rsid w:val="005C4F5E"/>
    <w:rsid w:val="005D0336"/>
    <w:rsid w:val="005D0640"/>
    <w:rsid w:val="005D204A"/>
    <w:rsid w:val="005D25D3"/>
    <w:rsid w:val="005D44BB"/>
    <w:rsid w:val="005D47AB"/>
    <w:rsid w:val="005D5BF1"/>
    <w:rsid w:val="005E0411"/>
    <w:rsid w:val="005E0ACE"/>
    <w:rsid w:val="005E1FA0"/>
    <w:rsid w:val="005E261B"/>
    <w:rsid w:val="005E2803"/>
    <w:rsid w:val="005E2ADE"/>
    <w:rsid w:val="005E319D"/>
    <w:rsid w:val="005E4EC9"/>
    <w:rsid w:val="005E5A40"/>
    <w:rsid w:val="005E6248"/>
    <w:rsid w:val="005E6433"/>
    <w:rsid w:val="005F07E8"/>
    <w:rsid w:val="005F0A5A"/>
    <w:rsid w:val="005F1DB4"/>
    <w:rsid w:val="005F2092"/>
    <w:rsid w:val="005F3980"/>
    <w:rsid w:val="005F4187"/>
    <w:rsid w:val="005F5AF1"/>
    <w:rsid w:val="005F71DA"/>
    <w:rsid w:val="00602C07"/>
    <w:rsid w:val="00605016"/>
    <w:rsid w:val="00605547"/>
    <w:rsid w:val="00605B5E"/>
    <w:rsid w:val="006060D6"/>
    <w:rsid w:val="0060663A"/>
    <w:rsid w:val="0060705D"/>
    <w:rsid w:val="00607F32"/>
    <w:rsid w:val="00611422"/>
    <w:rsid w:val="00611B39"/>
    <w:rsid w:val="00613D4E"/>
    <w:rsid w:val="006140F9"/>
    <w:rsid w:val="00614D1D"/>
    <w:rsid w:val="00614D63"/>
    <w:rsid w:val="006156B0"/>
    <w:rsid w:val="00616FDA"/>
    <w:rsid w:val="00617FEC"/>
    <w:rsid w:val="0062078E"/>
    <w:rsid w:val="0062298B"/>
    <w:rsid w:val="0062474D"/>
    <w:rsid w:val="00625424"/>
    <w:rsid w:val="006256A7"/>
    <w:rsid w:val="006306AC"/>
    <w:rsid w:val="0063075C"/>
    <w:rsid w:val="00630A51"/>
    <w:rsid w:val="006312C3"/>
    <w:rsid w:val="0063144A"/>
    <w:rsid w:val="00634426"/>
    <w:rsid w:val="00634FDE"/>
    <w:rsid w:val="00641AF5"/>
    <w:rsid w:val="006426FE"/>
    <w:rsid w:val="00643992"/>
    <w:rsid w:val="00643CE7"/>
    <w:rsid w:val="0064480A"/>
    <w:rsid w:val="00644970"/>
    <w:rsid w:val="006462D3"/>
    <w:rsid w:val="006475E9"/>
    <w:rsid w:val="00650F54"/>
    <w:rsid w:val="00652A88"/>
    <w:rsid w:val="00652C23"/>
    <w:rsid w:val="00653ECA"/>
    <w:rsid w:val="00653ECB"/>
    <w:rsid w:val="006540E6"/>
    <w:rsid w:val="006548B6"/>
    <w:rsid w:val="006548FF"/>
    <w:rsid w:val="00654BB8"/>
    <w:rsid w:val="00654D48"/>
    <w:rsid w:val="006557B7"/>
    <w:rsid w:val="00656436"/>
    <w:rsid w:val="006611B1"/>
    <w:rsid w:val="006616DD"/>
    <w:rsid w:val="00661930"/>
    <w:rsid w:val="00661C44"/>
    <w:rsid w:val="00661E3B"/>
    <w:rsid w:val="00662626"/>
    <w:rsid w:val="00662827"/>
    <w:rsid w:val="00662A0F"/>
    <w:rsid w:val="00663136"/>
    <w:rsid w:val="006633F5"/>
    <w:rsid w:val="00663B54"/>
    <w:rsid w:val="00664305"/>
    <w:rsid w:val="00665466"/>
    <w:rsid w:val="00666C12"/>
    <w:rsid w:val="006703FF"/>
    <w:rsid w:val="00670462"/>
    <w:rsid w:val="00670469"/>
    <w:rsid w:val="006705B8"/>
    <w:rsid w:val="0067151D"/>
    <w:rsid w:val="00672070"/>
    <w:rsid w:val="00672965"/>
    <w:rsid w:val="006735F7"/>
    <w:rsid w:val="006763E7"/>
    <w:rsid w:val="00676787"/>
    <w:rsid w:val="00676A5B"/>
    <w:rsid w:val="0067796C"/>
    <w:rsid w:val="00680997"/>
    <w:rsid w:val="006813F2"/>
    <w:rsid w:val="00681658"/>
    <w:rsid w:val="0068169E"/>
    <w:rsid w:val="0068198B"/>
    <w:rsid w:val="00681FD5"/>
    <w:rsid w:val="006821BA"/>
    <w:rsid w:val="0068520D"/>
    <w:rsid w:val="00686685"/>
    <w:rsid w:val="00687E95"/>
    <w:rsid w:val="00692D63"/>
    <w:rsid w:val="0069389D"/>
    <w:rsid w:val="00693B95"/>
    <w:rsid w:val="00694399"/>
    <w:rsid w:val="0069446F"/>
    <w:rsid w:val="00696103"/>
    <w:rsid w:val="00696D44"/>
    <w:rsid w:val="0069798E"/>
    <w:rsid w:val="006A2F2E"/>
    <w:rsid w:val="006A33FF"/>
    <w:rsid w:val="006A3EE8"/>
    <w:rsid w:val="006A6418"/>
    <w:rsid w:val="006A7583"/>
    <w:rsid w:val="006B04C0"/>
    <w:rsid w:val="006B087D"/>
    <w:rsid w:val="006B25D2"/>
    <w:rsid w:val="006B274B"/>
    <w:rsid w:val="006B314E"/>
    <w:rsid w:val="006B55A5"/>
    <w:rsid w:val="006B696D"/>
    <w:rsid w:val="006B6CF1"/>
    <w:rsid w:val="006B7547"/>
    <w:rsid w:val="006C3DD9"/>
    <w:rsid w:val="006C5064"/>
    <w:rsid w:val="006C55B4"/>
    <w:rsid w:val="006C610D"/>
    <w:rsid w:val="006C724E"/>
    <w:rsid w:val="006C7CD6"/>
    <w:rsid w:val="006D0534"/>
    <w:rsid w:val="006D05EB"/>
    <w:rsid w:val="006D2230"/>
    <w:rsid w:val="006D39DF"/>
    <w:rsid w:val="006D4C13"/>
    <w:rsid w:val="006D662F"/>
    <w:rsid w:val="006D779F"/>
    <w:rsid w:val="006D7F80"/>
    <w:rsid w:val="006E1F8C"/>
    <w:rsid w:val="006E38ED"/>
    <w:rsid w:val="006E4B57"/>
    <w:rsid w:val="006E61A5"/>
    <w:rsid w:val="006E7CCC"/>
    <w:rsid w:val="006F0183"/>
    <w:rsid w:val="006F316E"/>
    <w:rsid w:val="006F3513"/>
    <w:rsid w:val="006F408E"/>
    <w:rsid w:val="006F431E"/>
    <w:rsid w:val="006F78A1"/>
    <w:rsid w:val="007005E0"/>
    <w:rsid w:val="00700C24"/>
    <w:rsid w:val="00701004"/>
    <w:rsid w:val="007012E2"/>
    <w:rsid w:val="00701646"/>
    <w:rsid w:val="00702B88"/>
    <w:rsid w:val="0070545B"/>
    <w:rsid w:val="00705E5E"/>
    <w:rsid w:val="00712A7F"/>
    <w:rsid w:val="007132FD"/>
    <w:rsid w:val="00714527"/>
    <w:rsid w:val="007148B9"/>
    <w:rsid w:val="007158FD"/>
    <w:rsid w:val="0071590D"/>
    <w:rsid w:val="00717051"/>
    <w:rsid w:val="00720424"/>
    <w:rsid w:val="00721DA4"/>
    <w:rsid w:val="0072527D"/>
    <w:rsid w:val="00725945"/>
    <w:rsid w:val="007261BF"/>
    <w:rsid w:val="00726702"/>
    <w:rsid w:val="007318BD"/>
    <w:rsid w:val="00732BDB"/>
    <w:rsid w:val="00732CA6"/>
    <w:rsid w:val="007339DB"/>
    <w:rsid w:val="0073433C"/>
    <w:rsid w:val="00737580"/>
    <w:rsid w:val="00737E95"/>
    <w:rsid w:val="00740FFC"/>
    <w:rsid w:val="00741486"/>
    <w:rsid w:val="00741E78"/>
    <w:rsid w:val="00741F3A"/>
    <w:rsid w:val="0074302E"/>
    <w:rsid w:val="007443DB"/>
    <w:rsid w:val="00745B6D"/>
    <w:rsid w:val="007467C2"/>
    <w:rsid w:val="007518FD"/>
    <w:rsid w:val="00753336"/>
    <w:rsid w:val="007548E9"/>
    <w:rsid w:val="007558AE"/>
    <w:rsid w:val="00755C84"/>
    <w:rsid w:val="00757728"/>
    <w:rsid w:val="007600EB"/>
    <w:rsid w:val="00760345"/>
    <w:rsid w:val="00761217"/>
    <w:rsid w:val="00761620"/>
    <w:rsid w:val="0076490A"/>
    <w:rsid w:val="007657BE"/>
    <w:rsid w:val="007671FE"/>
    <w:rsid w:val="0076733E"/>
    <w:rsid w:val="00767635"/>
    <w:rsid w:val="00767C9F"/>
    <w:rsid w:val="00770DA9"/>
    <w:rsid w:val="007712F9"/>
    <w:rsid w:val="00772878"/>
    <w:rsid w:val="00772CA6"/>
    <w:rsid w:val="007751E5"/>
    <w:rsid w:val="00775A0E"/>
    <w:rsid w:val="00776BC9"/>
    <w:rsid w:val="007773B1"/>
    <w:rsid w:val="00777C4A"/>
    <w:rsid w:val="00781EE6"/>
    <w:rsid w:val="00782327"/>
    <w:rsid w:val="00782AF7"/>
    <w:rsid w:val="00782E5B"/>
    <w:rsid w:val="0078412D"/>
    <w:rsid w:val="0078422A"/>
    <w:rsid w:val="0078478A"/>
    <w:rsid w:val="00785082"/>
    <w:rsid w:val="007865F5"/>
    <w:rsid w:val="007866A3"/>
    <w:rsid w:val="007869A7"/>
    <w:rsid w:val="00791354"/>
    <w:rsid w:val="00794A97"/>
    <w:rsid w:val="00796D44"/>
    <w:rsid w:val="00796FA4"/>
    <w:rsid w:val="0079773B"/>
    <w:rsid w:val="007A28CF"/>
    <w:rsid w:val="007A697F"/>
    <w:rsid w:val="007A770F"/>
    <w:rsid w:val="007B05AE"/>
    <w:rsid w:val="007B1CC0"/>
    <w:rsid w:val="007B1E4B"/>
    <w:rsid w:val="007B34B8"/>
    <w:rsid w:val="007B35B9"/>
    <w:rsid w:val="007B4069"/>
    <w:rsid w:val="007B4D52"/>
    <w:rsid w:val="007B52BD"/>
    <w:rsid w:val="007B5358"/>
    <w:rsid w:val="007B572F"/>
    <w:rsid w:val="007B66A7"/>
    <w:rsid w:val="007B66E4"/>
    <w:rsid w:val="007B6AB5"/>
    <w:rsid w:val="007B6EB8"/>
    <w:rsid w:val="007B7265"/>
    <w:rsid w:val="007C0025"/>
    <w:rsid w:val="007C044D"/>
    <w:rsid w:val="007C0C15"/>
    <w:rsid w:val="007C0CA1"/>
    <w:rsid w:val="007C13DF"/>
    <w:rsid w:val="007C16DA"/>
    <w:rsid w:val="007C39D5"/>
    <w:rsid w:val="007C4F70"/>
    <w:rsid w:val="007C533B"/>
    <w:rsid w:val="007C5B59"/>
    <w:rsid w:val="007C6320"/>
    <w:rsid w:val="007D045D"/>
    <w:rsid w:val="007D066A"/>
    <w:rsid w:val="007D3280"/>
    <w:rsid w:val="007D4075"/>
    <w:rsid w:val="007D502C"/>
    <w:rsid w:val="007D6187"/>
    <w:rsid w:val="007D755D"/>
    <w:rsid w:val="007D75B2"/>
    <w:rsid w:val="007D75F6"/>
    <w:rsid w:val="007E026B"/>
    <w:rsid w:val="007E11A1"/>
    <w:rsid w:val="007E3CB6"/>
    <w:rsid w:val="007E55B5"/>
    <w:rsid w:val="007E68EB"/>
    <w:rsid w:val="007F15D8"/>
    <w:rsid w:val="007F21AE"/>
    <w:rsid w:val="007F4DAA"/>
    <w:rsid w:val="007F552C"/>
    <w:rsid w:val="00801A53"/>
    <w:rsid w:val="00801E6E"/>
    <w:rsid w:val="00802432"/>
    <w:rsid w:val="00804304"/>
    <w:rsid w:val="00804659"/>
    <w:rsid w:val="0081000B"/>
    <w:rsid w:val="00811BB9"/>
    <w:rsid w:val="00812CF5"/>
    <w:rsid w:val="00812E58"/>
    <w:rsid w:val="00815085"/>
    <w:rsid w:val="00815360"/>
    <w:rsid w:val="00816523"/>
    <w:rsid w:val="008167D8"/>
    <w:rsid w:val="00817062"/>
    <w:rsid w:val="008175BE"/>
    <w:rsid w:val="008179E0"/>
    <w:rsid w:val="00820B1D"/>
    <w:rsid w:val="00821D24"/>
    <w:rsid w:val="00822099"/>
    <w:rsid w:val="00822DA2"/>
    <w:rsid w:val="0082338C"/>
    <w:rsid w:val="00823417"/>
    <w:rsid w:val="00823BC9"/>
    <w:rsid w:val="0082405B"/>
    <w:rsid w:val="00825137"/>
    <w:rsid w:val="00825562"/>
    <w:rsid w:val="00825BC6"/>
    <w:rsid w:val="0082633E"/>
    <w:rsid w:val="00830434"/>
    <w:rsid w:val="00830AB8"/>
    <w:rsid w:val="00830F15"/>
    <w:rsid w:val="008323E2"/>
    <w:rsid w:val="0083273A"/>
    <w:rsid w:val="00833BF4"/>
    <w:rsid w:val="008340FD"/>
    <w:rsid w:val="008358EB"/>
    <w:rsid w:val="00836697"/>
    <w:rsid w:val="00836B64"/>
    <w:rsid w:val="00837194"/>
    <w:rsid w:val="008418FC"/>
    <w:rsid w:val="00842191"/>
    <w:rsid w:val="0084234E"/>
    <w:rsid w:val="00842D40"/>
    <w:rsid w:val="00842DBC"/>
    <w:rsid w:val="00844068"/>
    <w:rsid w:val="008444B9"/>
    <w:rsid w:val="00845E88"/>
    <w:rsid w:val="008468DB"/>
    <w:rsid w:val="008471A1"/>
    <w:rsid w:val="0084743D"/>
    <w:rsid w:val="00847B9F"/>
    <w:rsid w:val="008518D7"/>
    <w:rsid w:val="00851D21"/>
    <w:rsid w:val="00852320"/>
    <w:rsid w:val="008523C5"/>
    <w:rsid w:val="00854511"/>
    <w:rsid w:val="00857810"/>
    <w:rsid w:val="008608DA"/>
    <w:rsid w:val="008611C9"/>
    <w:rsid w:val="008628A1"/>
    <w:rsid w:val="008639C1"/>
    <w:rsid w:val="008640E2"/>
    <w:rsid w:val="008642F1"/>
    <w:rsid w:val="0086430C"/>
    <w:rsid w:val="00864F31"/>
    <w:rsid w:val="00864FD6"/>
    <w:rsid w:val="008659D5"/>
    <w:rsid w:val="00865A80"/>
    <w:rsid w:val="00865C17"/>
    <w:rsid w:val="0086756B"/>
    <w:rsid w:val="008679AA"/>
    <w:rsid w:val="00867D15"/>
    <w:rsid w:val="008703B7"/>
    <w:rsid w:val="00870419"/>
    <w:rsid w:val="008713B9"/>
    <w:rsid w:val="0087255B"/>
    <w:rsid w:val="00876833"/>
    <w:rsid w:val="0087702F"/>
    <w:rsid w:val="00881E84"/>
    <w:rsid w:val="0088214C"/>
    <w:rsid w:val="00882A01"/>
    <w:rsid w:val="00883440"/>
    <w:rsid w:val="008838A4"/>
    <w:rsid w:val="00884437"/>
    <w:rsid w:val="00885536"/>
    <w:rsid w:val="00885767"/>
    <w:rsid w:val="00887791"/>
    <w:rsid w:val="0089088C"/>
    <w:rsid w:val="00890C9A"/>
    <w:rsid w:val="00890DE4"/>
    <w:rsid w:val="00891915"/>
    <w:rsid w:val="00891ADE"/>
    <w:rsid w:val="00891BFD"/>
    <w:rsid w:val="008922A4"/>
    <w:rsid w:val="008927FD"/>
    <w:rsid w:val="00892F75"/>
    <w:rsid w:val="00894FF9"/>
    <w:rsid w:val="00895AAA"/>
    <w:rsid w:val="00896901"/>
    <w:rsid w:val="00897247"/>
    <w:rsid w:val="0089735A"/>
    <w:rsid w:val="008A211C"/>
    <w:rsid w:val="008A25A8"/>
    <w:rsid w:val="008A270D"/>
    <w:rsid w:val="008A3F44"/>
    <w:rsid w:val="008A463C"/>
    <w:rsid w:val="008A4C1B"/>
    <w:rsid w:val="008A5AC2"/>
    <w:rsid w:val="008A614E"/>
    <w:rsid w:val="008A6670"/>
    <w:rsid w:val="008B0FA5"/>
    <w:rsid w:val="008B2A21"/>
    <w:rsid w:val="008B46C2"/>
    <w:rsid w:val="008B559E"/>
    <w:rsid w:val="008B6B99"/>
    <w:rsid w:val="008B718B"/>
    <w:rsid w:val="008B7391"/>
    <w:rsid w:val="008C0969"/>
    <w:rsid w:val="008C0CC0"/>
    <w:rsid w:val="008C0D35"/>
    <w:rsid w:val="008C15D6"/>
    <w:rsid w:val="008C1777"/>
    <w:rsid w:val="008C24FD"/>
    <w:rsid w:val="008C2C98"/>
    <w:rsid w:val="008C2D98"/>
    <w:rsid w:val="008C33BE"/>
    <w:rsid w:val="008C520D"/>
    <w:rsid w:val="008C5364"/>
    <w:rsid w:val="008C5817"/>
    <w:rsid w:val="008C640E"/>
    <w:rsid w:val="008C6A92"/>
    <w:rsid w:val="008C7D48"/>
    <w:rsid w:val="008C7D56"/>
    <w:rsid w:val="008D21D2"/>
    <w:rsid w:val="008D25DC"/>
    <w:rsid w:val="008D3AB7"/>
    <w:rsid w:val="008D5133"/>
    <w:rsid w:val="008D57C5"/>
    <w:rsid w:val="008D5A66"/>
    <w:rsid w:val="008D61BD"/>
    <w:rsid w:val="008D6C5A"/>
    <w:rsid w:val="008E0A5C"/>
    <w:rsid w:val="008E1A3C"/>
    <w:rsid w:val="008E1A5A"/>
    <w:rsid w:val="008E208F"/>
    <w:rsid w:val="008E25CC"/>
    <w:rsid w:val="008E33B6"/>
    <w:rsid w:val="008E3819"/>
    <w:rsid w:val="008E3E4F"/>
    <w:rsid w:val="008E57CC"/>
    <w:rsid w:val="008E6DDB"/>
    <w:rsid w:val="008E7016"/>
    <w:rsid w:val="008E7A5E"/>
    <w:rsid w:val="008F056F"/>
    <w:rsid w:val="008F17E6"/>
    <w:rsid w:val="008F20FF"/>
    <w:rsid w:val="008F3EC3"/>
    <w:rsid w:val="008F72BD"/>
    <w:rsid w:val="008F7E6B"/>
    <w:rsid w:val="00900221"/>
    <w:rsid w:val="009008D4"/>
    <w:rsid w:val="009015D6"/>
    <w:rsid w:val="00902C6A"/>
    <w:rsid w:val="00902D99"/>
    <w:rsid w:val="00902FFD"/>
    <w:rsid w:val="0090363F"/>
    <w:rsid w:val="00903F59"/>
    <w:rsid w:val="00904961"/>
    <w:rsid w:val="009056FA"/>
    <w:rsid w:val="00905CB9"/>
    <w:rsid w:val="009076E3"/>
    <w:rsid w:val="009100B9"/>
    <w:rsid w:val="00910704"/>
    <w:rsid w:val="0091298A"/>
    <w:rsid w:val="00913F28"/>
    <w:rsid w:val="00914B76"/>
    <w:rsid w:val="009154D3"/>
    <w:rsid w:val="00915A72"/>
    <w:rsid w:val="00916D28"/>
    <w:rsid w:val="009171CE"/>
    <w:rsid w:val="009177DD"/>
    <w:rsid w:val="009179D0"/>
    <w:rsid w:val="009200D9"/>
    <w:rsid w:val="00920E5E"/>
    <w:rsid w:val="009216F3"/>
    <w:rsid w:val="00922106"/>
    <w:rsid w:val="00922590"/>
    <w:rsid w:val="0092423A"/>
    <w:rsid w:val="009258C8"/>
    <w:rsid w:val="00925B7E"/>
    <w:rsid w:val="00930C60"/>
    <w:rsid w:val="00930E8F"/>
    <w:rsid w:val="00930F49"/>
    <w:rsid w:val="009310AA"/>
    <w:rsid w:val="009312AA"/>
    <w:rsid w:val="009322B1"/>
    <w:rsid w:val="009323DF"/>
    <w:rsid w:val="0093341A"/>
    <w:rsid w:val="009335CB"/>
    <w:rsid w:val="00934713"/>
    <w:rsid w:val="00934C66"/>
    <w:rsid w:val="00935089"/>
    <w:rsid w:val="00935E77"/>
    <w:rsid w:val="0094091C"/>
    <w:rsid w:val="00940AFE"/>
    <w:rsid w:val="00940D1A"/>
    <w:rsid w:val="00941127"/>
    <w:rsid w:val="00941C92"/>
    <w:rsid w:val="00941F8F"/>
    <w:rsid w:val="009447DD"/>
    <w:rsid w:val="009448B2"/>
    <w:rsid w:val="00945602"/>
    <w:rsid w:val="00945DAD"/>
    <w:rsid w:val="009471E8"/>
    <w:rsid w:val="009472F2"/>
    <w:rsid w:val="00947832"/>
    <w:rsid w:val="00947949"/>
    <w:rsid w:val="00952597"/>
    <w:rsid w:val="00952CF4"/>
    <w:rsid w:val="0095359C"/>
    <w:rsid w:val="00956D1A"/>
    <w:rsid w:val="009570B2"/>
    <w:rsid w:val="00960DD1"/>
    <w:rsid w:val="0096367A"/>
    <w:rsid w:val="009639A5"/>
    <w:rsid w:val="00963E18"/>
    <w:rsid w:val="0096475F"/>
    <w:rsid w:val="009653BA"/>
    <w:rsid w:val="00965C2C"/>
    <w:rsid w:val="00966E1F"/>
    <w:rsid w:val="0097149C"/>
    <w:rsid w:val="0097167C"/>
    <w:rsid w:val="009716DD"/>
    <w:rsid w:val="009738BB"/>
    <w:rsid w:val="00973B2E"/>
    <w:rsid w:val="00975286"/>
    <w:rsid w:val="00975734"/>
    <w:rsid w:val="009762DD"/>
    <w:rsid w:val="0097672C"/>
    <w:rsid w:val="00977128"/>
    <w:rsid w:val="00977954"/>
    <w:rsid w:val="00977CB2"/>
    <w:rsid w:val="009808E0"/>
    <w:rsid w:val="00981D08"/>
    <w:rsid w:val="009821C8"/>
    <w:rsid w:val="00982359"/>
    <w:rsid w:val="00982751"/>
    <w:rsid w:val="00983BFA"/>
    <w:rsid w:val="009840ED"/>
    <w:rsid w:val="009865CB"/>
    <w:rsid w:val="00986609"/>
    <w:rsid w:val="009874DB"/>
    <w:rsid w:val="00987F69"/>
    <w:rsid w:val="00991A14"/>
    <w:rsid w:val="00991B27"/>
    <w:rsid w:val="009958B3"/>
    <w:rsid w:val="00995A44"/>
    <w:rsid w:val="00995B75"/>
    <w:rsid w:val="00996220"/>
    <w:rsid w:val="00996DAA"/>
    <w:rsid w:val="009971F6"/>
    <w:rsid w:val="009A039A"/>
    <w:rsid w:val="009A0C67"/>
    <w:rsid w:val="009A118C"/>
    <w:rsid w:val="009A168F"/>
    <w:rsid w:val="009A1F3B"/>
    <w:rsid w:val="009A225C"/>
    <w:rsid w:val="009A3198"/>
    <w:rsid w:val="009A331B"/>
    <w:rsid w:val="009A3B39"/>
    <w:rsid w:val="009A4354"/>
    <w:rsid w:val="009A4749"/>
    <w:rsid w:val="009A5136"/>
    <w:rsid w:val="009A5338"/>
    <w:rsid w:val="009A7F46"/>
    <w:rsid w:val="009B0B09"/>
    <w:rsid w:val="009B265D"/>
    <w:rsid w:val="009B51F1"/>
    <w:rsid w:val="009B54ED"/>
    <w:rsid w:val="009B7469"/>
    <w:rsid w:val="009B7A7A"/>
    <w:rsid w:val="009C0BE3"/>
    <w:rsid w:val="009C0CFB"/>
    <w:rsid w:val="009C1271"/>
    <w:rsid w:val="009C147B"/>
    <w:rsid w:val="009C1B4B"/>
    <w:rsid w:val="009C1FAE"/>
    <w:rsid w:val="009C486E"/>
    <w:rsid w:val="009C74DE"/>
    <w:rsid w:val="009C78CB"/>
    <w:rsid w:val="009D054E"/>
    <w:rsid w:val="009D0F5D"/>
    <w:rsid w:val="009D153A"/>
    <w:rsid w:val="009D2DAB"/>
    <w:rsid w:val="009D3AA9"/>
    <w:rsid w:val="009D4B40"/>
    <w:rsid w:val="009D6128"/>
    <w:rsid w:val="009D6A62"/>
    <w:rsid w:val="009D76B4"/>
    <w:rsid w:val="009E067B"/>
    <w:rsid w:val="009E19C2"/>
    <w:rsid w:val="009E1B92"/>
    <w:rsid w:val="009E26B9"/>
    <w:rsid w:val="009E3B0C"/>
    <w:rsid w:val="009E45F4"/>
    <w:rsid w:val="009E557F"/>
    <w:rsid w:val="009E57AB"/>
    <w:rsid w:val="009E743B"/>
    <w:rsid w:val="009E7804"/>
    <w:rsid w:val="009F0EDA"/>
    <w:rsid w:val="009F10B8"/>
    <w:rsid w:val="009F27B3"/>
    <w:rsid w:val="009F3278"/>
    <w:rsid w:val="009F34C6"/>
    <w:rsid w:val="009F3513"/>
    <w:rsid w:val="009F4576"/>
    <w:rsid w:val="009F46E7"/>
    <w:rsid w:val="009F4CF3"/>
    <w:rsid w:val="009F52D4"/>
    <w:rsid w:val="009F66EE"/>
    <w:rsid w:val="00A011D6"/>
    <w:rsid w:val="00A0207A"/>
    <w:rsid w:val="00A02F15"/>
    <w:rsid w:val="00A0324A"/>
    <w:rsid w:val="00A03BAE"/>
    <w:rsid w:val="00A05C80"/>
    <w:rsid w:val="00A060AB"/>
    <w:rsid w:val="00A065D6"/>
    <w:rsid w:val="00A06A15"/>
    <w:rsid w:val="00A070DB"/>
    <w:rsid w:val="00A101F3"/>
    <w:rsid w:val="00A102E7"/>
    <w:rsid w:val="00A113F5"/>
    <w:rsid w:val="00A12BA5"/>
    <w:rsid w:val="00A1379C"/>
    <w:rsid w:val="00A14583"/>
    <w:rsid w:val="00A16D47"/>
    <w:rsid w:val="00A2206B"/>
    <w:rsid w:val="00A231C3"/>
    <w:rsid w:val="00A23800"/>
    <w:rsid w:val="00A23EB8"/>
    <w:rsid w:val="00A24815"/>
    <w:rsid w:val="00A25FB2"/>
    <w:rsid w:val="00A2715D"/>
    <w:rsid w:val="00A30D2F"/>
    <w:rsid w:val="00A310B7"/>
    <w:rsid w:val="00A316B9"/>
    <w:rsid w:val="00A3217B"/>
    <w:rsid w:val="00A3338C"/>
    <w:rsid w:val="00A36F21"/>
    <w:rsid w:val="00A40F8B"/>
    <w:rsid w:val="00A42BAC"/>
    <w:rsid w:val="00A441F6"/>
    <w:rsid w:val="00A444E5"/>
    <w:rsid w:val="00A46C1E"/>
    <w:rsid w:val="00A47BC7"/>
    <w:rsid w:val="00A510D6"/>
    <w:rsid w:val="00A52860"/>
    <w:rsid w:val="00A54AE1"/>
    <w:rsid w:val="00A54E2F"/>
    <w:rsid w:val="00A54E4A"/>
    <w:rsid w:val="00A54FFF"/>
    <w:rsid w:val="00A5571F"/>
    <w:rsid w:val="00A55C51"/>
    <w:rsid w:val="00A55F38"/>
    <w:rsid w:val="00A5622A"/>
    <w:rsid w:val="00A6034C"/>
    <w:rsid w:val="00A609BD"/>
    <w:rsid w:val="00A6461C"/>
    <w:rsid w:val="00A658E1"/>
    <w:rsid w:val="00A661DF"/>
    <w:rsid w:val="00A67493"/>
    <w:rsid w:val="00A67BCC"/>
    <w:rsid w:val="00A720EF"/>
    <w:rsid w:val="00A72341"/>
    <w:rsid w:val="00A734B6"/>
    <w:rsid w:val="00A74EA7"/>
    <w:rsid w:val="00A7515A"/>
    <w:rsid w:val="00A75D70"/>
    <w:rsid w:val="00A76322"/>
    <w:rsid w:val="00A76994"/>
    <w:rsid w:val="00A77D41"/>
    <w:rsid w:val="00A81435"/>
    <w:rsid w:val="00A82449"/>
    <w:rsid w:val="00A826EB"/>
    <w:rsid w:val="00A82AF1"/>
    <w:rsid w:val="00A834F6"/>
    <w:rsid w:val="00A86078"/>
    <w:rsid w:val="00A872B2"/>
    <w:rsid w:val="00A90223"/>
    <w:rsid w:val="00A92517"/>
    <w:rsid w:val="00A9431E"/>
    <w:rsid w:val="00A95387"/>
    <w:rsid w:val="00A95A77"/>
    <w:rsid w:val="00A9653A"/>
    <w:rsid w:val="00A97581"/>
    <w:rsid w:val="00A97987"/>
    <w:rsid w:val="00A979EE"/>
    <w:rsid w:val="00AA0708"/>
    <w:rsid w:val="00AA0F29"/>
    <w:rsid w:val="00AA1E03"/>
    <w:rsid w:val="00AA206F"/>
    <w:rsid w:val="00AA28BC"/>
    <w:rsid w:val="00AA389D"/>
    <w:rsid w:val="00AA3E8F"/>
    <w:rsid w:val="00AA4717"/>
    <w:rsid w:val="00AA4AA7"/>
    <w:rsid w:val="00AA5D1B"/>
    <w:rsid w:val="00AA732A"/>
    <w:rsid w:val="00AB0D5B"/>
    <w:rsid w:val="00AB0DCD"/>
    <w:rsid w:val="00AB32A4"/>
    <w:rsid w:val="00AB3D15"/>
    <w:rsid w:val="00AB550E"/>
    <w:rsid w:val="00AB6317"/>
    <w:rsid w:val="00AB6907"/>
    <w:rsid w:val="00AB6F41"/>
    <w:rsid w:val="00AC06AF"/>
    <w:rsid w:val="00AC4B7B"/>
    <w:rsid w:val="00AC5241"/>
    <w:rsid w:val="00AC5820"/>
    <w:rsid w:val="00AC761C"/>
    <w:rsid w:val="00AC7AD9"/>
    <w:rsid w:val="00AD03E9"/>
    <w:rsid w:val="00AD066A"/>
    <w:rsid w:val="00AD0C55"/>
    <w:rsid w:val="00AD0D6D"/>
    <w:rsid w:val="00AD2909"/>
    <w:rsid w:val="00AD3CDB"/>
    <w:rsid w:val="00AD4A21"/>
    <w:rsid w:val="00AD686C"/>
    <w:rsid w:val="00AD6E95"/>
    <w:rsid w:val="00AD73A3"/>
    <w:rsid w:val="00AE0077"/>
    <w:rsid w:val="00AE10C6"/>
    <w:rsid w:val="00AE126D"/>
    <w:rsid w:val="00AE33E6"/>
    <w:rsid w:val="00AE3BDE"/>
    <w:rsid w:val="00AE4CE3"/>
    <w:rsid w:val="00AE4E5E"/>
    <w:rsid w:val="00AF1AA6"/>
    <w:rsid w:val="00AF277D"/>
    <w:rsid w:val="00AF34A5"/>
    <w:rsid w:val="00AF77D5"/>
    <w:rsid w:val="00AF7B29"/>
    <w:rsid w:val="00B01573"/>
    <w:rsid w:val="00B01FA7"/>
    <w:rsid w:val="00B0269A"/>
    <w:rsid w:val="00B030C9"/>
    <w:rsid w:val="00B04543"/>
    <w:rsid w:val="00B04DCC"/>
    <w:rsid w:val="00B0608B"/>
    <w:rsid w:val="00B06333"/>
    <w:rsid w:val="00B06C21"/>
    <w:rsid w:val="00B1121E"/>
    <w:rsid w:val="00B14601"/>
    <w:rsid w:val="00B14A8F"/>
    <w:rsid w:val="00B14B14"/>
    <w:rsid w:val="00B1657B"/>
    <w:rsid w:val="00B1795B"/>
    <w:rsid w:val="00B2181B"/>
    <w:rsid w:val="00B21EDC"/>
    <w:rsid w:val="00B226F0"/>
    <w:rsid w:val="00B22819"/>
    <w:rsid w:val="00B2298A"/>
    <w:rsid w:val="00B24486"/>
    <w:rsid w:val="00B2688F"/>
    <w:rsid w:val="00B27E9B"/>
    <w:rsid w:val="00B3011B"/>
    <w:rsid w:val="00B30A70"/>
    <w:rsid w:val="00B30AE0"/>
    <w:rsid w:val="00B322AE"/>
    <w:rsid w:val="00B3288C"/>
    <w:rsid w:val="00B32C52"/>
    <w:rsid w:val="00B33E67"/>
    <w:rsid w:val="00B344C7"/>
    <w:rsid w:val="00B37EBD"/>
    <w:rsid w:val="00B400EE"/>
    <w:rsid w:val="00B417A3"/>
    <w:rsid w:val="00B41DB6"/>
    <w:rsid w:val="00B4296F"/>
    <w:rsid w:val="00B4384A"/>
    <w:rsid w:val="00B43DF7"/>
    <w:rsid w:val="00B4524A"/>
    <w:rsid w:val="00B4605A"/>
    <w:rsid w:val="00B46925"/>
    <w:rsid w:val="00B46ADF"/>
    <w:rsid w:val="00B47DAA"/>
    <w:rsid w:val="00B51807"/>
    <w:rsid w:val="00B52596"/>
    <w:rsid w:val="00B52B79"/>
    <w:rsid w:val="00B52D5E"/>
    <w:rsid w:val="00B5346F"/>
    <w:rsid w:val="00B53CB5"/>
    <w:rsid w:val="00B53E39"/>
    <w:rsid w:val="00B554A2"/>
    <w:rsid w:val="00B558C9"/>
    <w:rsid w:val="00B56670"/>
    <w:rsid w:val="00B5765E"/>
    <w:rsid w:val="00B57E07"/>
    <w:rsid w:val="00B63447"/>
    <w:rsid w:val="00B63489"/>
    <w:rsid w:val="00B635DD"/>
    <w:rsid w:val="00B64568"/>
    <w:rsid w:val="00B64651"/>
    <w:rsid w:val="00B65813"/>
    <w:rsid w:val="00B66F40"/>
    <w:rsid w:val="00B6755A"/>
    <w:rsid w:val="00B67A81"/>
    <w:rsid w:val="00B70FCD"/>
    <w:rsid w:val="00B715D2"/>
    <w:rsid w:val="00B7217C"/>
    <w:rsid w:val="00B723FA"/>
    <w:rsid w:val="00B72E5D"/>
    <w:rsid w:val="00B736FE"/>
    <w:rsid w:val="00B75918"/>
    <w:rsid w:val="00B75A2C"/>
    <w:rsid w:val="00B75B87"/>
    <w:rsid w:val="00B7616F"/>
    <w:rsid w:val="00B774B1"/>
    <w:rsid w:val="00B77F19"/>
    <w:rsid w:val="00B8009C"/>
    <w:rsid w:val="00B80C6F"/>
    <w:rsid w:val="00B80E5B"/>
    <w:rsid w:val="00B82FAF"/>
    <w:rsid w:val="00B8393F"/>
    <w:rsid w:val="00B849FE"/>
    <w:rsid w:val="00B856CE"/>
    <w:rsid w:val="00B85C56"/>
    <w:rsid w:val="00B86596"/>
    <w:rsid w:val="00B8695F"/>
    <w:rsid w:val="00B905DB"/>
    <w:rsid w:val="00B927C3"/>
    <w:rsid w:val="00B9377C"/>
    <w:rsid w:val="00B94F49"/>
    <w:rsid w:val="00B95555"/>
    <w:rsid w:val="00B956AB"/>
    <w:rsid w:val="00B97486"/>
    <w:rsid w:val="00B975FD"/>
    <w:rsid w:val="00B978D6"/>
    <w:rsid w:val="00BA069B"/>
    <w:rsid w:val="00BA080A"/>
    <w:rsid w:val="00BA144A"/>
    <w:rsid w:val="00BA4687"/>
    <w:rsid w:val="00BA47FB"/>
    <w:rsid w:val="00BA793B"/>
    <w:rsid w:val="00BB05A4"/>
    <w:rsid w:val="00BB1A7C"/>
    <w:rsid w:val="00BB1B68"/>
    <w:rsid w:val="00BB2363"/>
    <w:rsid w:val="00BB29C5"/>
    <w:rsid w:val="00BB519B"/>
    <w:rsid w:val="00BB5350"/>
    <w:rsid w:val="00BB609B"/>
    <w:rsid w:val="00BB65CA"/>
    <w:rsid w:val="00BB6B43"/>
    <w:rsid w:val="00BB6CBC"/>
    <w:rsid w:val="00BB6E8D"/>
    <w:rsid w:val="00BB7A42"/>
    <w:rsid w:val="00BB7B9C"/>
    <w:rsid w:val="00BC0ADF"/>
    <w:rsid w:val="00BC0E93"/>
    <w:rsid w:val="00BC1739"/>
    <w:rsid w:val="00BC24B3"/>
    <w:rsid w:val="00BC2A44"/>
    <w:rsid w:val="00BC45E7"/>
    <w:rsid w:val="00BC53EA"/>
    <w:rsid w:val="00BC6094"/>
    <w:rsid w:val="00BC787F"/>
    <w:rsid w:val="00BC7F4C"/>
    <w:rsid w:val="00BD089E"/>
    <w:rsid w:val="00BD0D3A"/>
    <w:rsid w:val="00BD27DC"/>
    <w:rsid w:val="00BD2AD7"/>
    <w:rsid w:val="00BD3D71"/>
    <w:rsid w:val="00BD5110"/>
    <w:rsid w:val="00BD5F53"/>
    <w:rsid w:val="00BD667F"/>
    <w:rsid w:val="00BD7293"/>
    <w:rsid w:val="00BD78DB"/>
    <w:rsid w:val="00BD7999"/>
    <w:rsid w:val="00BE0276"/>
    <w:rsid w:val="00BE0729"/>
    <w:rsid w:val="00BE1421"/>
    <w:rsid w:val="00BE2186"/>
    <w:rsid w:val="00BE268D"/>
    <w:rsid w:val="00BE525B"/>
    <w:rsid w:val="00BE55A3"/>
    <w:rsid w:val="00BE71AA"/>
    <w:rsid w:val="00BE778F"/>
    <w:rsid w:val="00BE7CAE"/>
    <w:rsid w:val="00BF013A"/>
    <w:rsid w:val="00BF109D"/>
    <w:rsid w:val="00BF2126"/>
    <w:rsid w:val="00BF48EA"/>
    <w:rsid w:val="00BF5052"/>
    <w:rsid w:val="00BF71C0"/>
    <w:rsid w:val="00BF7867"/>
    <w:rsid w:val="00BF7998"/>
    <w:rsid w:val="00C01A2B"/>
    <w:rsid w:val="00C02E41"/>
    <w:rsid w:val="00C04574"/>
    <w:rsid w:val="00C04CC2"/>
    <w:rsid w:val="00C04CCC"/>
    <w:rsid w:val="00C05B42"/>
    <w:rsid w:val="00C06DA3"/>
    <w:rsid w:val="00C0755D"/>
    <w:rsid w:val="00C07E1E"/>
    <w:rsid w:val="00C11157"/>
    <w:rsid w:val="00C12C3E"/>
    <w:rsid w:val="00C12EEA"/>
    <w:rsid w:val="00C13C45"/>
    <w:rsid w:val="00C14D1E"/>
    <w:rsid w:val="00C16431"/>
    <w:rsid w:val="00C1645D"/>
    <w:rsid w:val="00C207DC"/>
    <w:rsid w:val="00C2109D"/>
    <w:rsid w:val="00C21BBE"/>
    <w:rsid w:val="00C22D99"/>
    <w:rsid w:val="00C231B2"/>
    <w:rsid w:val="00C2608E"/>
    <w:rsid w:val="00C31728"/>
    <w:rsid w:val="00C33579"/>
    <w:rsid w:val="00C355CA"/>
    <w:rsid w:val="00C36BF2"/>
    <w:rsid w:val="00C41815"/>
    <w:rsid w:val="00C426D6"/>
    <w:rsid w:val="00C43E2C"/>
    <w:rsid w:val="00C44FF7"/>
    <w:rsid w:val="00C457DB"/>
    <w:rsid w:val="00C45F1A"/>
    <w:rsid w:val="00C460F4"/>
    <w:rsid w:val="00C4767C"/>
    <w:rsid w:val="00C47863"/>
    <w:rsid w:val="00C501CF"/>
    <w:rsid w:val="00C5041B"/>
    <w:rsid w:val="00C508BE"/>
    <w:rsid w:val="00C508F7"/>
    <w:rsid w:val="00C51B3A"/>
    <w:rsid w:val="00C527ED"/>
    <w:rsid w:val="00C548D7"/>
    <w:rsid w:val="00C55898"/>
    <w:rsid w:val="00C55F31"/>
    <w:rsid w:val="00C56086"/>
    <w:rsid w:val="00C560A5"/>
    <w:rsid w:val="00C561A7"/>
    <w:rsid w:val="00C5769C"/>
    <w:rsid w:val="00C61132"/>
    <w:rsid w:val="00C62ADD"/>
    <w:rsid w:val="00C62AFA"/>
    <w:rsid w:val="00C63228"/>
    <w:rsid w:val="00C6367F"/>
    <w:rsid w:val="00C63B44"/>
    <w:rsid w:val="00C641A1"/>
    <w:rsid w:val="00C643C2"/>
    <w:rsid w:val="00C647FF"/>
    <w:rsid w:val="00C64CDD"/>
    <w:rsid w:val="00C64DC5"/>
    <w:rsid w:val="00C657F0"/>
    <w:rsid w:val="00C65985"/>
    <w:rsid w:val="00C65B70"/>
    <w:rsid w:val="00C660C2"/>
    <w:rsid w:val="00C673E2"/>
    <w:rsid w:val="00C6755A"/>
    <w:rsid w:val="00C72207"/>
    <w:rsid w:val="00C73414"/>
    <w:rsid w:val="00C74320"/>
    <w:rsid w:val="00C74880"/>
    <w:rsid w:val="00C75990"/>
    <w:rsid w:val="00C763F0"/>
    <w:rsid w:val="00C76CE2"/>
    <w:rsid w:val="00C8046D"/>
    <w:rsid w:val="00C807AC"/>
    <w:rsid w:val="00C80B3F"/>
    <w:rsid w:val="00C85C80"/>
    <w:rsid w:val="00C8650F"/>
    <w:rsid w:val="00C86CAD"/>
    <w:rsid w:val="00C870BE"/>
    <w:rsid w:val="00C871C8"/>
    <w:rsid w:val="00C87610"/>
    <w:rsid w:val="00C87BA0"/>
    <w:rsid w:val="00C91325"/>
    <w:rsid w:val="00C94245"/>
    <w:rsid w:val="00C9597E"/>
    <w:rsid w:val="00C95FFF"/>
    <w:rsid w:val="00C968AA"/>
    <w:rsid w:val="00C97B3D"/>
    <w:rsid w:val="00CA1DBE"/>
    <w:rsid w:val="00CA22FF"/>
    <w:rsid w:val="00CA3E06"/>
    <w:rsid w:val="00CA5E7C"/>
    <w:rsid w:val="00CB016A"/>
    <w:rsid w:val="00CB130A"/>
    <w:rsid w:val="00CB28D8"/>
    <w:rsid w:val="00CB309E"/>
    <w:rsid w:val="00CB3832"/>
    <w:rsid w:val="00CB4C98"/>
    <w:rsid w:val="00CB59B5"/>
    <w:rsid w:val="00CB5C40"/>
    <w:rsid w:val="00CB6358"/>
    <w:rsid w:val="00CB7001"/>
    <w:rsid w:val="00CC0A3F"/>
    <w:rsid w:val="00CC2584"/>
    <w:rsid w:val="00CC2A68"/>
    <w:rsid w:val="00CC37E1"/>
    <w:rsid w:val="00CC6E47"/>
    <w:rsid w:val="00CC72D5"/>
    <w:rsid w:val="00CC7992"/>
    <w:rsid w:val="00CD1977"/>
    <w:rsid w:val="00CD1D1A"/>
    <w:rsid w:val="00CD2334"/>
    <w:rsid w:val="00CD27C7"/>
    <w:rsid w:val="00CD2DF0"/>
    <w:rsid w:val="00CD48D1"/>
    <w:rsid w:val="00CD4DD3"/>
    <w:rsid w:val="00CD518B"/>
    <w:rsid w:val="00CE09A0"/>
    <w:rsid w:val="00CE0B5C"/>
    <w:rsid w:val="00CE1B9E"/>
    <w:rsid w:val="00CE1D48"/>
    <w:rsid w:val="00CE30CF"/>
    <w:rsid w:val="00CE31F5"/>
    <w:rsid w:val="00CE3980"/>
    <w:rsid w:val="00CE470B"/>
    <w:rsid w:val="00CE61A6"/>
    <w:rsid w:val="00CE6405"/>
    <w:rsid w:val="00CE69AF"/>
    <w:rsid w:val="00CE766D"/>
    <w:rsid w:val="00CE79C2"/>
    <w:rsid w:val="00CE7F2A"/>
    <w:rsid w:val="00CF0CC1"/>
    <w:rsid w:val="00CF2219"/>
    <w:rsid w:val="00CF3C51"/>
    <w:rsid w:val="00CF417C"/>
    <w:rsid w:val="00CF5800"/>
    <w:rsid w:val="00D000EC"/>
    <w:rsid w:val="00D00746"/>
    <w:rsid w:val="00D013C5"/>
    <w:rsid w:val="00D03110"/>
    <w:rsid w:val="00D0432C"/>
    <w:rsid w:val="00D054C3"/>
    <w:rsid w:val="00D06231"/>
    <w:rsid w:val="00D06F61"/>
    <w:rsid w:val="00D07549"/>
    <w:rsid w:val="00D10F49"/>
    <w:rsid w:val="00D128B0"/>
    <w:rsid w:val="00D13098"/>
    <w:rsid w:val="00D13683"/>
    <w:rsid w:val="00D13D08"/>
    <w:rsid w:val="00D141F0"/>
    <w:rsid w:val="00D14945"/>
    <w:rsid w:val="00D1510D"/>
    <w:rsid w:val="00D20BEF"/>
    <w:rsid w:val="00D2458E"/>
    <w:rsid w:val="00D24951"/>
    <w:rsid w:val="00D24B6C"/>
    <w:rsid w:val="00D307E3"/>
    <w:rsid w:val="00D3212D"/>
    <w:rsid w:val="00D35251"/>
    <w:rsid w:val="00D35ADD"/>
    <w:rsid w:val="00D375DE"/>
    <w:rsid w:val="00D400F3"/>
    <w:rsid w:val="00D405AB"/>
    <w:rsid w:val="00D4103E"/>
    <w:rsid w:val="00D42E8B"/>
    <w:rsid w:val="00D43AF8"/>
    <w:rsid w:val="00D472E8"/>
    <w:rsid w:val="00D50DB0"/>
    <w:rsid w:val="00D51051"/>
    <w:rsid w:val="00D571FB"/>
    <w:rsid w:val="00D57A72"/>
    <w:rsid w:val="00D60503"/>
    <w:rsid w:val="00D62EC7"/>
    <w:rsid w:val="00D637C8"/>
    <w:rsid w:val="00D63AF8"/>
    <w:rsid w:val="00D63DFB"/>
    <w:rsid w:val="00D663EF"/>
    <w:rsid w:val="00D66A46"/>
    <w:rsid w:val="00D66DCC"/>
    <w:rsid w:val="00D66E1E"/>
    <w:rsid w:val="00D67162"/>
    <w:rsid w:val="00D673DC"/>
    <w:rsid w:val="00D67915"/>
    <w:rsid w:val="00D7026B"/>
    <w:rsid w:val="00D75BCA"/>
    <w:rsid w:val="00D76C66"/>
    <w:rsid w:val="00D80C1F"/>
    <w:rsid w:val="00D81E4A"/>
    <w:rsid w:val="00D8203E"/>
    <w:rsid w:val="00D826A9"/>
    <w:rsid w:val="00D856EF"/>
    <w:rsid w:val="00D85DD4"/>
    <w:rsid w:val="00D86D4D"/>
    <w:rsid w:val="00D8791F"/>
    <w:rsid w:val="00D91393"/>
    <w:rsid w:val="00D91FEF"/>
    <w:rsid w:val="00D92040"/>
    <w:rsid w:val="00D92F03"/>
    <w:rsid w:val="00D939F9"/>
    <w:rsid w:val="00D969EF"/>
    <w:rsid w:val="00D97642"/>
    <w:rsid w:val="00D97DFD"/>
    <w:rsid w:val="00D97FDE"/>
    <w:rsid w:val="00DA0D51"/>
    <w:rsid w:val="00DA204E"/>
    <w:rsid w:val="00DA23BB"/>
    <w:rsid w:val="00DA287A"/>
    <w:rsid w:val="00DA2E02"/>
    <w:rsid w:val="00DA3C75"/>
    <w:rsid w:val="00DA3DD8"/>
    <w:rsid w:val="00DA50F8"/>
    <w:rsid w:val="00DA55B6"/>
    <w:rsid w:val="00DB00D6"/>
    <w:rsid w:val="00DB025A"/>
    <w:rsid w:val="00DB08C7"/>
    <w:rsid w:val="00DB2DAA"/>
    <w:rsid w:val="00DB3410"/>
    <w:rsid w:val="00DB368C"/>
    <w:rsid w:val="00DB3C34"/>
    <w:rsid w:val="00DB40AE"/>
    <w:rsid w:val="00DB5460"/>
    <w:rsid w:val="00DB5ECC"/>
    <w:rsid w:val="00DB5F16"/>
    <w:rsid w:val="00DB6904"/>
    <w:rsid w:val="00DB6970"/>
    <w:rsid w:val="00DB6D31"/>
    <w:rsid w:val="00DB6DD1"/>
    <w:rsid w:val="00DC2277"/>
    <w:rsid w:val="00DC366A"/>
    <w:rsid w:val="00DC4EC1"/>
    <w:rsid w:val="00DC553E"/>
    <w:rsid w:val="00DC59A4"/>
    <w:rsid w:val="00DC6ECB"/>
    <w:rsid w:val="00DC78FC"/>
    <w:rsid w:val="00DC7D65"/>
    <w:rsid w:val="00DD0845"/>
    <w:rsid w:val="00DD0B7D"/>
    <w:rsid w:val="00DD1DE7"/>
    <w:rsid w:val="00DD30F5"/>
    <w:rsid w:val="00DD3384"/>
    <w:rsid w:val="00DD40F5"/>
    <w:rsid w:val="00DD43D7"/>
    <w:rsid w:val="00DD4F2C"/>
    <w:rsid w:val="00DD5155"/>
    <w:rsid w:val="00DD5BD7"/>
    <w:rsid w:val="00DD5DCE"/>
    <w:rsid w:val="00DD689A"/>
    <w:rsid w:val="00DD6EC9"/>
    <w:rsid w:val="00DD7497"/>
    <w:rsid w:val="00DE0295"/>
    <w:rsid w:val="00DE1922"/>
    <w:rsid w:val="00DE2898"/>
    <w:rsid w:val="00DE3011"/>
    <w:rsid w:val="00DE5088"/>
    <w:rsid w:val="00DE60A2"/>
    <w:rsid w:val="00DF256A"/>
    <w:rsid w:val="00DF2B27"/>
    <w:rsid w:val="00DF3BC4"/>
    <w:rsid w:val="00DF567C"/>
    <w:rsid w:val="00DF6F1B"/>
    <w:rsid w:val="00DF7919"/>
    <w:rsid w:val="00E00338"/>
    <w:rsid w:val="00E00B59"/>
    <w:rsid w:val="00E01490"/>
    <w:rsid w:val="00E02253"/>
    <w:rsid w:val="00E027B2"/>
    <w:rsid w:val="00E03769"/>
    <w:rsid w:val="00E042FB"/>
    <w:rsid w:val="00E0445B"/>
    <w:rsid w:val="00E045C9"/>
    <w:rsid w:val="00E05C35"/>
    <w:rsid w:val="00E06A98"/>
    <w:rsid w:val="00E076FE"/>
    <w:rsid w:val="00E07D3C"/>
    <w:rsid w:val="00E10FAE"/>
    <w:rsid w:val="00E1124C"/>
    <w:rsid w:val="00E1232B"/>
    <w:rsid w:val="00E130C6"/>
    <w:rsid w:val="00E139A2"/>
    <w:rsid w:val="00E13FD5"/>
    <w:rsid w:val="00E167CD"/>
    <w:rsid w:val="00E17BD2"/>
    <w:rsid w:val="00E17E67"/>
    <w:rsid w:val="00E20D2D"/>
    <w:rsid w:val="00E22ADC"/>
    <w:rsid w:val="00E22CA1"/>
    <w:rsid w:val="00E23A76"/>
    <w:rsid w:val="00E23BB5"/>
    <w:rsid w:val="00E24BEC"/>
    <w:rsid w:val="00E24DED"/>
    <w:rsid w:val="00E258EE"/>
    <w:rsid w:val="00E263E4"/>
    <w:rsid w:val="00E26833"/>
    <w:rsid w:val="00E27594"/>
    <w:rsid w:val="00E30C06"/>
    <w:rsid w:val="00E31C49"/>
    <w:rsid w:val="00E328E6"/>
    <w:rsid w:val="00E32AE5"/>
    <w:rsid w:val="00E32DB2"/>
    <w:rsid w:val="00E348EA"/>
    <w:rsid w:val="00E35462"/>
    <w:rsid w:val="00E376CE"/>
    <w:rsid w:val="00E37CDB"/>
    <w:rsid w:val="00E40CB7"/>
    <w:rsid w:val="00E41812"/>
    <w:rsid w:val="00E42C97"/>
    <w:rsid w:val="00E43290"/>
    <w:rsid w:val="00E44CAC"/>
    <w:rsid w:val="00E45DF4"/>
    <w:rsid w:val="00E46324"/>
    <w:rsid w:val="00E47B4F"/>
    <w:rsid w:val="00E47D6A"/>
    <w:rsid w:val="00E51985"/>
    <w:rsid w:val="00E51FD1"/>
    <w:rsid w:val="00E54942"/>
    <w:rsid w:val="00E56746"/>
    <w:rsid w:val="00E56A79"/>
    <w:rsid w:val="00E57647"/>
    <w:rsid w:val="00E5771A"/>
    <w:rsid w:val="00E57B40"/>
    <w:rsid w:val="00E6028C"/>
    <w:rsid w:val="00E6042E"/>
    <w:rsid w:val="00E60FE0"/>
    <w:rsid w:val="00E61E81"/>
    <w:rsid w:val="00E620B2"/>
    <w:rsid w:val="00E62194"/>
    <w:rsid w:val="00E635C1"/>
    <w:rsid w:val="00E63F20"/>
    <w:rsid w:val="00E64878"/>
    <w:rsid w:val="00E65AC1"/>
    <w:rsid w:val="00E67349"/>
    <w:rsid w:val="00E6738C"/>
    <w:rsid w:val="00E704D5"/>
    <w:rsid w:val="00E70A96"/>
    <w:rsid w:val="00E71BC3"/>
    <w:rsid w:val="00E71CB5"/>
    <w:rsid w:val="00E724AB"/>
    <w:rsid w:val="00E749CD"/>
    <w:rsid w:val="00E74E55"/>
    <w:rsid w:val="00E7787C"/>
    <w:rsid w:val="00E81D17"/>
    <w:rsid w:val="00E83204"/>
    <w:rsid w:val="00E83844"/>
    <w:rsid w:val="00E83D13"/>
    <w:rsid w:val="00E847D5"/>
    <w:rsid w:val="00E85707"/>
    <w:rsid w:val="00E8766F"/>
    <w:rsid w:val="00E902BE"/>
    <w:rsid w:val="00E90329"/>
    <w:rsid w:val="00E90B8D"/>
    <w:rsid w:val="00E91434"/>
    <w:rsid w:val="00E916EF"/>
    <w:rsid w:val="00E91933"/>
    <w:rsid w:val="00E92018"/>
    <w:rsid w:val="00E9236A"/>
    <w:rsid w:val="00E92D7B"/>
    <w:rsid w:val="00E93C62"/>
    <w:rsid w:val="00E96605"/>
    <w:rsid w:val="00E966C2"/>
    <w:rsid w:val="00E96CC1"/>
    <w:rsid w:val="00E96D29"/>
    <w:rsid w:val="00EA0B4F"/>
    <w:rsid w:val="00EA0BC2"/>
    <w:rsid w:val="00EA2B84"/>
    <w:rsid w:val="00EA2D73"/>
    <w:rsid w:val="00EA3880"/>
    <w:rsid w:val="00EA4F08"/>
    <w:rsid w:val="00EA5ED9"/>
    <w:rsid w:val="00EA747C"/>
    <w:rsid w:val="00EB03AB"/>
    <w:rsid w:val="00EB1772"/>
    <w:rsid w:val="00EB1C57"/>
    <w:rsid w:val="00EB2D9C"/>
    <w:rsid w:val="00EB307C"/>
    <w:rsid w:val="00EB3B50"/>
    <w:rsid w:val="00EB674D"/>
    <w:rsid w:val="00EB75F5"/>
    <w:rsid w:val="00EC0486"/>
    <w:rsid w:val="00EC2555"/>
    <w:rsid w:val="00EC3729"/>
    <w:rsid w:val="00EC4724"/>
    <w:rsid w:val="00EC5A14"/>
    <w:rsid w:val="00EC5A97"/>
    <w:rsid w:val="00EC6741"/>
    <w:rsid w:val="00EC68EA"/>
    <w:rsid w:val="00ED0933"/>
    <w:rsid w:val="00ED0B73"/>
    <w:rsid w:val="00ED1CED"/>
    <w:rsid w:val="00ED26DC"/>
    <w:rsid w:val="00ED3A30"/>
    <w:rsid w:val="00ED41B8"/>
    <w:rsid w:val="00ED4742"/>
    <w:rsid w:val="00ED612F"/>
    <w:rsid w:val="00ED676B"/>
    <w:rsid w:val="00EE3CD0"/>
    <w:rsid w:val="00EE5C5B"/>
    <w:rsid w:val="00EE6391"/>
    <w:rsid w:val="00EE69D1"/>
    <w:rsid w:val="00EE6B55"/>
    <w:rsid w:val="00EE7D9D"/>
    <w:rsid w:val="00EE7F66"/>
    <w:rsid w:val="00EF386D"/>
    <w:rsid w:val="00EF684B"/>
    <w:rsid w:val="00EF6B59"/>
    <w:rsid w:val="00F00E2A"/>
    <w:rsid w:val="00F01388"/>
    <w:rsid w:val="00F014FF"/>
    <w:rsid w:val="00F01CEA"/>
    <w:rsid w:val="00F03989"/>
    <w:rsid w:val="00F063F0"/>
    <w:rsid w:val="00F066F0"/>
    <w:rsid w:val="00F0691A"/>
    <w:rsid w:val="00F1166A"/>
    <w:rsid w:val="00F11AE5"/>
    <w:rsid w:val="00F13683"/>
    <w:rsid w:val="00F14150"/>
    <w:rsid w:val="00F15BD2"/>
    <w:rsid w:val="00F15FF4"/>
    <w:rsid w:val="00F208DC"/>
    <w:rsid w:val="00F221D9"/>
    <w:rsid w:val="00F22637"/>
    <w:rsid w:val="00F22AD0"/>
    <w:rsid w:val="00F22DA5"/>
    <w:rsid w:val="00F24101"/>
    <w:rsid w:val="00F259D8"/>
    <w:rsid w:val="00F26EBF"/>
    <w:rsid w:val="00F26F1D"/>
    <w:rsid w:val="00F279AA"/>
    <w:rsid w:val="00F317A5"/>
    <w:rsid w:val="00F31DA1"/>
    <w:rsid w:val="00F331A3"/>
    <w:rsid w:val="00F33E56"/>
    <w:rsid w:val="00F33EAD"/>
    <w:rsid w:val="00F365B7"/>
    <w:rsid w:val="00F36E81"/>
    <w:rsid w:val="00F37A09"/>
    <w:rsid w:val="00F37F8D"/>
    <w:rsid w:val="00F4106A"/>
    <w:rsid w:val="00F432FA"/>
    <w:rsid w:val="00F43D25"/>
    <w:rsid w:val="00F440F4"/>
    <w:rsid w:val="00F448D9"/>
    <w:rsid w:val="00F44F5A"/>
    <w:rsid w:val="00F450C7"/>
    <w:rsid w:val="00F45C76"/>
    <w:rsid w:val="00F50355"/>
    <w:rsid w:val="00F50ECE"/>
    <w:rsid w:val="00F51051"/>
    <w:rsid w:val="00F51D55"/>
    <w:rsid w:val="00F5361A"/>
    <w:rsid w:val="00F53884"/>
    <w:rsid w:val="00F5415C"/>
    <w:rsid w:val="00F54416"/>
    <w:rsid w:val="00F54DF6"/>
    <w:rsid w:val="00F5535C"/>
    <w:rsid w:val="00F55F16"/>
    <w:rsid w:val="00F60469"/>
    <w:rsid w:val="00F620C2"/>
    <w:rsid w:val="00F62979"/>
    <w:rsid w:val="00F62B39"/>
    <w:rsid w:val="00F63078"/>
    <w:rsid w:val="00F63323"/>
    <w:rsid w:val="00F65025"/>
    <w:rsid w:val="00F650C6"/>
    <w:rsid w:val="00F6693E"/>
    <w:rsid w:val="00F7279C"/>
    <w:rsid w:val="00F72FF8"/>
    <w:rsid w:val="00F74A61"/>
    <w:rsid w:val="00F74B81"/>
    <w:rsid w:val="00F77B4A"/>
    <w:rsid w:val="00F8236A"/>
    <w:rsid w:val="00F824C9"/>
    <w:rsid w:val="00F83245"/>
    <w:rsid w:val="00F85A07"/>
    <w:rsid w:val="00F85F68"/>
    <w:rsid w:val="00F86E2B"/>
    <w:rsid w:val="00F87077"/>
    <w:rsid w:val="00F876B0"/>
    <w:rsid w:val="00F87B28"/>
    <w:rsid w:val="00F87D0A"/>
    <w:rsid w:val="00F87DEE"/>
    <w:rsid w:val="00F942F0"/>
    <w:rsid w:val="00F948FB"/>
    <w:rsid w:val="00FA0FF5"/>
    <w:rsid w:val="00FA1B5F"/>
    <w:rsid w:val="00FA2C0A"/>
    <w:rsid w:val="00FA41EA"/>
    <w:rsid w:val="00FA5C04"/>
    <w:rsid w:val="00FB1E23"/>
    <w:rsid w:val="00FB229D"/>
    <w:rsid w:val="00FB386D"/>
    <w:rsid w:val="00FB3973"/>
    <w:rsid w:val="00FB6883"/>
    <w:rsid w:val="00FB694C"/>
    <w:rsid w:val="00FB74FD"/>
    <w:rsid w:val="00FC09B3"/>
    <w:rsid w:val="00FC1244"/>
    <w:rsid w:val="00FC17A5"/>
    <w:rsid w:val="00FC206D"/>
    <w:rsid w:val="00FC28C2"/>
    <w:rsid w:val="00FC3FDB"/>
    <w:rsid w:val="00FC50D3"/>
    <w:rsid w:val="00FC5874"/>
    <w:rsid w:val="00FC5A4E"/>
    <w:rsid w:val="00FD01AF"/>
    <w:rsid w:val="00FD2F04"/>
    <w:rsid w:val="00FD3C18"/>
    <w:rsid w:val="00FD4331"/>
    <w:rsid w:val="00FD49FF"/>
    <w:rsid w:val="00FD5A09"/>
    <w:rsid w:val="00FD660D"/>
    <w:rsid w:val="00FE0C23"/>
    <w:rsid w:val="00FE6228"/>
    <w:rsid w:val="00FE7FF7"/>
    <w:rsid w:val="00FF004D"/>
    <w:rsid w:val="00FF0227"/>
    <w:rsid w:val="00FF0562"/>
    <w:rsid w:val="00FF06EC"/>
    <w:rsid w:val="00FF0A13"/>
    <w:rsid w:val="00FF32F1"/>
    <w:rsid w:val="00FF3FBC"/>
    <w:rsid w:val="00FF598C"/>
    <w:rsid w:val="00FF6139"/>
    <w:rsid w:val="00FF744E"/>
    <w:rsid w:val="01637165"/>
    <w:rsid w:val="02337D11"/>
    <w:rsid w:val="02753E85"/>
    <w:rsid w:val="02C1356F"/>
    <w:rsid w:val="034E2125"/>
    <w:rsid w:val="036A7762"/>
    <w:rsid w:val="036B64E8"/>
    <w:rsid w:val="038933A9"/>
    <w:rsid w:val="03BE185C"/>
    <w:rsid w:val="03CE3996"/>
    <w:rsid w:val="03F90AE6"/>
    <w:rsid w:val="045A0087"/>
    <w:rsid w:val="04904FA7"/>
    <w:rsid w:val="05983B33"/>
    <w:rsid w:val="05CD2772"/>
    <w:rsid w:val="05CE037D"/>
    <w:rsid w:val="0659586C"/>
    <w:rsid w:val="067641DC"/>
    <w:rsid w:val="075954A1"/>
    <w:rsid w:val="0774295E"/>
    <w:rsid w:val="07AC2387"/>
    <w:rsid w:val="07B90CB8"/>
    <w:rsid w:val="07BE1E2B"/>
    <w:rsid w:val="07BE62CF"/>
    <w:rsid w:val="085D7C9A"/>
    <w:rsid w:val="086C1887"/>
    <w:rsid w:val="091D0DD3"/>
    <w:rsid w:val="09622C8A"/>
    <w:rsid w:val="0A0855DF"/>
    <w:rsid w:val="0A2C37A9"/>
    <w:rsid w:val="0A3D4C57"/>
    <w:rsid w:val="0A690774"/>
    <w:rsid w:val="0AB36084"/>
    <w:rsid w:val="0AB628C0"/>
    <w:rsid w:val="0AF14253"/>
    <w:rsid w:val="0AFB20FF"/>
    <w:rsid w:val="0B381B5D"/>
    <w:rsid w:val="0B6A6843"/>
    <w:rsid w:val="0C0C6653"/>
    <w:rsid w:val="0C30706F"/>
    <w:rsid w:val="0C591439"/>
    <w:rsid w:val="0C825B1D"/>
    <w:rsid w:val="0D1644B7"/>
    <w:rsid w:val="0D500CF1"/>
    <w:rsid w:val="0D8853B5"/>
    <w:rsid w:val="0DAB10A3"/>
    <w:rsid w:val="0DF1591A"/>
    <w:rsid w:val="0E2502F7"/>
    <w:rsid w:val="0E465247"/>
    <w:rsid w:val="0E5C239D"/>
    <w:rsid w:val="0E601E8E"/>
    <w:rsid w:val="0E833DCE"/>
    <w:rsid w:val="0E8B5269"/>
    <w:rsid w:val="0E9360EE"/>
    <w:rsid w:val="0E940838"/>
    <w:rsid w:val="0EA70609"/>
    <w:rsid w:val="0EE71E6E"/>
    <w:rsid w:val="0F0E18EA"/>
    <w:rsid w:val="0F4C5F6E"/>
    <w:rsid w:val="0F67724C"/>
    <w:rsid w:val="0F827BE2"/>
    <w:rsid w:val="0F9F69E6"/>
    <w:rsid w:val="0FC4644C"/>
    <w:rsid w:val="0FC87CEA"/>
    <w:rsid w:val="0FD74C28"/>
    <w:rsid w:val="0FE4264A"/>
    <w:rsid w:val="10086339"/>
    <w:rsid w:val="10215F58"/>
    <w:rsid w:val="108A5114"/>
    <w:rsid w:val="10AD283F"/>
    <w:rsid w:val="10FF7000"/>
    <w:rsid w:val="119A7465"/>
    <w:rsid w:val="11DD0CA2"/>
    <w:rsid w:val="11F43DAB"/>
    <w:rsid w:val="12392615"/>
    <w:rsid w:val="12BC78AF"/>
    <w:rsid w:val="12F2507E"/>
    <w:rsid w:val="13196AAF"/>
    <w:rsid w:val="13280AA0"/>
    <w:rsid w:val="133438E9"/>
    <w:rsid w:val="13442EB6"/>
    <w:rsid w:val="135A192C"/>
    <w:rsid w:val="1393035F"/>
    <w:rsid w:val="139775C4"/>
    <w:rsid w:val="13A20660"/>
    <w:rsid w:val="14090BE0"/>
    <w:rsid w:val="145F4995"/>
    <w:rsid w:val="147E692F"/>
    <w:rsid w:val="14B26D4F"/>
    <w:rsid w:val="14D51756"/>
    <w:rsid w:val="15025F33"/>
    <w:rsid w:val="15194B44"/>
    <w:rsid w:val="156F6E5A"/>
    <w:rsid w:val="15EF3AF7"/>
    <w:rsid w:val="15FC1B1D"/>
    <w:rsid w:val="16014658"/>
    <w:rsid w:val="16175D54"/>
    <w:rsid w:val="1626576B"/>
    <w:rsid w:val="163D6F2B"/>
    <w:rsid w:val="165A3666"/>
    <w:rsid w:val="165A5414"/>
    <w:rsid w:val="167E55A7"/>
    <w:rsid w:val="16A86180"/>
    <w:rsid w:val="16FE5738"/>
    <w:rsid w:val="17044AFD"/>
    <w:rsid w:val="17596BCA"/>
    <w:rsid w:val="175E6B6A"/>
    <w:rsid w:val="17EE4B9F"/>
    <w:rsid w:val="184719C8"/>
    <w:rsid w:val="18C66D91"/>
    <w:rsid w:val="18F57676"/>
    <w:rsid w:val="194D237F"/>
    <w:rsid w:val="19706CFD"/>
    <w:rsid w:val="19DD0836"/>
    <w:rsid w:val="1A257974"/>
    <w:rsid w:val="1A442027"/>
    <w:rsid w:val="1AAC1FB7"/>
    <w:rsid w:val="1AC45552"/>
    <w:rsid w:val="1AC76DF0"/>
    <w:rsid w:val="1B1100D3"/>
    <w:rsid w:val="1B171B26"/>
    <w:rsid w:val="1B316D83"/>
    <w:rsid w:val="1B577BEC"/>
    <w:rsid w:val="1BE35EAC"/>
    <w:rsid w:val="1BFB4FA4"/>
    <w:rsid w:val="1C365FDC"/>
    <w:rsid w:val="1C610073"/>
    <w:rsid w:val="1C961170"/>
    <w:rsid w:val="1D1126AF"/>
    <w:rsid w:val="1D214EDE"/>
    <w:rsid w:val="1D634930"/>
    <w:rsid w:val="1DFB50CA"/>
    <w:rsid w:val="1E195BB5"/>
    <w:rsid w:val="1E254DA8"/>
    <w:rsid w:val="1E452F24"/>
    <w:rsid w:val="1EA774B8"/>
    <w:rsid w:val="1EC3397C"/>
    <w:rsid w:val="1F3E24C7"/>
    <w:rsid w:val="1F52137F"/>
    <w:rsid w:val="1F6A30DB"/>
    <w:rsid w:val="1F8B2168"/>
    <w:rsid w:val="1FAF4A23"/>
    <w:rsid w:val="1FFB58CE"/>
    <w:rsid w:val="20741056"/>
    <w:rsid w:val="21273D9B"/>
    <w:rsid w:val="214007BA"/>
    <w:rsid w:val="21500A96"/>
    <w:rsid w:val="21871088"/>
    <w:rsid w:val="219519E3"/>
    <w:rsid w:val="21AF0D0A"/>
    <w:rsid w:val="21E902CE"/>
    <w:rsid w:val="226A47A4"/>
    <w:rsid w:val="227F0162"/>
    <w:rsid w:val="228A52D3"/>
    <w:rsid w:val="234731C4"/>
    <w:rsid w:val="23645B24"/>
    <w:rsid w:val="23CB16FF"/>
    <w:rsid w:val="23D5257E"/>
    <w:rsid w:val="23E80503"/>
    <w:rsid w:val="241115F5"/>
    <w:rsid w:val="242F6132"/>
    <w:rsid w:val="246F263F"/>
    <w:rsid w:val="24F20F0E"/>
    <w:rsid w:val="24FE78B3"/>
    <w:rsid w:val="251F2304"/>
    <w:rsid w:val="25394189"/>
    <w:rsid w:val="25423C43"/>
    <w:rsid w:val="25580B74"/>
    <w:rsid w:val="25DB3B35"/>
    <w:rsid w:val="2677349D"/>
    <w:rsid w:val="26B26BA7"/>
    <w:rsid w:val="26C02E84"/>
    <w:rsid w:val="26E474C3"/>
    <w:rsid w:val="27383550"/>
    <w:rsid w:val="279A3902"/>
    <w:rsid w:val="2816568A"/>
    <w:rsid w:val="283B15B8"/>
    <w:rsid w:val="28670377"/>
    <w:rsid w:val="288B76AF"/>
    <w:rsid w:val="28991DCC"/>
    <w:rsid w:val="28AC5FA3"/>
    <w:rsid w:val="28B45DC3"/>
    <w:rsid w:val="291308D3"/>
    <w:rsid w:val="292B33FF"/>
    <w:rsid w:val="29581178"/>
    <w:rsid w:val="296028EA"/>
    <w:rsid w:val="298D0473"/>
    <w:rsid w:val="29A80DCF"/>
    <w:rsid w:val="29EB48A9"/>
    <w:rsid w:val="29F25B5F"/>
    <w:rsid w:val="2A355B25"/>
    <w:rsid w:val="2A4B016F"/>
    <w:rsid w:val="2A697EC4"/>
    <w:rsid w:val="2A6B59EA"/>
    <w:rsid w:val="2AA9206F"/>
    <w:rsid w:val="2ADE440E"/>
    <w:rsid w:val="2B0F6376"/>
    <w:rsid w:val="2B5312D1"/>
    <w:rsid w:val="2B9B22FF"/>
    <w:rsid w:val="2BAD1F45"/>
    <w:rsid w:val="2BDD0222"/>
    <w:rsid w:val="2BE617CC"/>
    <w:rsid w:val="2C1C3440"/>
    <w:rsid w:val="2C5F50DB"/>
    <w:rsid w:val="2C84319C"/>
    <w:rsid w:val="2C954FA0"/>
    <w:rsid w:val="2C9F5E1F"/>
    <w:rsid w:val="2CCD0296"/>
    <w:rsid w:val="2CE738D7"/>
    <w:rsid w:val="2CF75313"/>
    <w:rsid w:val="2D216834"/>
    <w:rsid w:val="2D412A32"/>
    <w:rsid w:val="2DA60AE7"/>
    <w:rsid w:val="2DEB6CD6"/>
    <w:rsid w:val="2DFE26D1"/>
    <w:rsid w:val="2E5549E7"/>
    <w:rsid w:val="2E60513A"/>
    <w:rsid w:val="2E6469D8"/>
    <w:rsid w:val="2F644435"/>
    <w:rsid w:val="2FAC4ADB"/>
    <w:rsid w:val="303074BA"/>
    <w:rsid w:val="304271ED"/>
    <w:rsid w:val="309D1543"/>
    <w:rsid w:val="30CC660C"/>
    <w:rsid w:val="30D065A7"/>
    <w:rsid w:val="30DA363F"/>
    <w:rsid w:val="30E20088"/>
    <w:rsid w:val="30F5600E"/>
    <w:rsid w:val="318123B0"/>
    <w:rsid w:val="31837ABD"/>
    <w:rsid w:val="31A34262"/>
    <w:rsid w:val="31A37253"/>
    <w:rsid w:val="31CF4AB1"/>
    <w:rsid w:val="320209E2"/>
    <w:rsid w:val="3216623C"/>
    <w:rsid w:val="32285F6F"/>
    <w:rsid w:val="322F3FB8"/>
    <w:rsid w:val="3236068C"/>
    <w:rsid w:val="32A25D21"/>
    <w:rsid w:val="32BF2D77"/>
    <w:rsid w:val="32EB76C8"/>
    <w:rsid w:val="32EC1057"/>
    <w:rsid w:val="33552D94"/>
    <w:rsid w:val="34563267"/>
    <w:rsid w:val="34B575C9"/>
    <w:rsid w:val="3512487E"/>
    <w:rsid w:val="3577485D"/>
    <w:rsid w:val="35A00207"/>
    <w:rsid w:val="360549C6"/>
    <w:rsid w:val="360558C0"/>
    <w:rsid w:val="36370AC5"/>
    <w:rsid w:val="36A55DE0"/>
    <w:rsid w:val="36BB1AA7"/>
    <w:rsid w:val="36D546CB"/>
    <w:rsid w:val="36E63FE1"/>
    <w:rsid w:val="36F1624C"/>
    <w:rsid w:val="372371AE"/>
    <w:rsid w:val="37515F68"/>
    <w:rsid w:val="379E1D37"/>
    <w:rsid w:val="381E409C"/>
    <w:rsid w:val="38910D12"/>
    <w:rsid w:val="39BD78E5"/>
    <w:rsid w:val="39DF5AAD"/>
    <w:rsid w:val="3A3000B7"/>
    <w:rsid w:val="3A606BEE"/>
    <w:rsid w:val="3A706705"/>
    <w:rsid w:val="3A793DA1"/>
    <w:rsid w:val="3ABB3AC8"/>
    <w:rsid w:val="3AF235BE"/>
    <w:rsid w:val="3AFD443D"/>
    <w:rsid w:val="3B1A08AC"/>
    <w:rsid w:val="3B563B4D"/>
    <w:rsid w:val="3B5A188F"/>
    <w:rsid w:val="3B673FAC"/>
    <w:rsid w:val="3BB93A0B"/>
    <w:rsid w:val="3BCD6E05"/>
    <w:rsid w:val="3BD60810"/>
    <w:rsid w:val="3BF770DE"/>
    <w:rsid w:val="3C3E2F5F"/>
    <w:rsid w:val="3C480B3F"/>
    <w:rsid w:val="3C4C0E90"/>
    <w:rsid w:val="3C9F32D2"/>
    <w:rsid w:val="3CCA034E"/>
    <w:rsid w:val="3CE86A81"/>
    <w:rsid w:val="3CF47AC1"/>
    <w:rsid w:val="3D211F38"/>
    <w:rsid w:val="3D332398"/>
    <w:rsid w:val="3D96372E"/>
    <w:rsid w:val="3E1B1313"/>
    <w:rsid w:val="3E2607ED"/>
    <w:rsid w:val="3EC01D99"/>
    <w:rsid w:val="3EEB0A50"/>
    <w:rsid w:val="3F4E2026"/>
    <w:rsid w:val="3F6F342F"/>
    <w:rsid w:val="3F762A0F"/>
    <w:rsid w:val="3FB672B0"/>
    <w:rsid w:val="402C1320"/>
    <w:rsid w:val="402F67CE"/>
    <w:rsid w:val="404623E2"/>
    <w:rsid w:val="407B27E6"/>
    <w:rsid w:val="41D34BA9"/>
    <w:rsid w:val="42187DAE"/>
    <w:rsid w:val="42352655"/>
    <w:rsid w:val="42732927"/>
    <w:rsid w:val="42D71A17"/>
    <w:rsid w:val="42E63A08"/>
    <w:rsid w:val="43335634"/>
    <w:rsid w:val="4350263A"/>
    <w:rsid w:val="43657023"/>
    <w:rsid w:val="4392221B"/>
    <w:rsid w:val="43C743B1"/>
    <w:rsid w:val="43CF28BC"/>
    <w:rsid w:val="440C749E"/>
    <w:rsid w:val="44315157"/>
    <w:rsid w:val="44627A06"/>
    <w:rsid w:val="4464716A"/>
    <w:rsid w:val="44983428"/>
    <w:rsid w:val="44A85EEF"/>
    <w:rsid w:val="44F87E15"/>
    <w:rsid w:val="4561219E"/>
    <w:rsid w:val="45C67B21"/>
    <w:rsid w:val="45EE77A4"/>
    <w:rsid w:val="45F60406"/>
    <w:rsid w:val="46341091"/>
    <w:rsid w:val="46430BED"/>
    <w:rsid w:val="464E3D9E"/>
    <w:rsid w:val="466C2476"/>
    <w:rsid w:val="46BE763A"/>
    <w:rsid w:val="46E110B6"/>
    <w:rsid w:val="477100F8"/>
    <w:rsid w:val="479E6FA7"/>
    <w:rsid w:val="47C00B3A"/>
    <w:rsid w:val="47D41231"/>
    <w:rsid w:val="48135B10"/>
    <w:rsid w:val="48671147"/>
    <w:rsid w:val="487A1E2A"/>
    <w:rsid w:val="48B16866"/>
    <w:rsid w:val="48DF1625"/>
    <w:rsid w:val="48F74BC1"/>
    <w:rsid w:val="49615189"/>
    <w:rsid w:val="49885819"/>
    <w:rsid w:val="498B4FAA"/>
    <w:rsid w:val="49951CE4"/>
    <w:rsid w:val="49CA5E32"/>
    <w:rsid w:val="4A0330F2"/>
    <w:rsid w:val="4A1B668D"/>
    <w:rsid w:val="4ABA6CC2"/>
    <w:rsid w:val="4B444C82"/>
    <w:rsid w:val="4B7F2C4C"/>
    <w:rsid w:val="4B982BB3"/>
    <w:rsid w:val="4BC008BB"/>
    <w:rsid w:val="4BCC5D64"/>
    <w:rsid w:val="4BE64A79"/>
    <w:rsid w:val="4C1C049B"/>
    <w:rsid w:val="4C261319"/>
    <w:rsid w:val="4C435948"/>
    <w:rsid w:val="4C4D68A6"/>
    <w:rsid w:val="4CEA2347"/>
    <w:rsid w:val="4D0D77FD"/>
    <w:rsid w:val="4D225D69"/>
    <w:rsid w:val="4D2E2B7B"/>
    <w:rsid w:val="4D322F39"/>
    <w:rsid w:val="4D4715BB"/>
    <w:rsid w:val="4D671BE9"/>
    <w:rsid w:val="4E2D4BE1"/>
    <w:rsid w:val="4E4837C9"/>
    <w:rsid w:val="4E4C36D5"/>
    <w:rsid w:val="4EAF1A9A"/>
    <w:rsid w:val="4EBE1CDD"/>
    <w:rsid w:val="4EDB6A19"/>
    <w:rsid w:val="4EDD2163"/>
    <w:rsid w:val="4EE129A3"/>
    <w:rsid w:val="4F1813ED"/>
    <w:rsid w:val="4F936CC6"/>
    <w:rsid w:val="4FA979F0"/>
    <w:rsid w:val="4FF82FCD"/>
    <w:rsid w:val="500B2D00"/>
    <w:rsid w:val="501E52BF"/>
    <w:rsid w:val="504A7CCC"/>
    <w:rsid w:val="508036EE"/>
    <w:rsid w:val="51756FC7"/>
    <w:rsid w:val="5196484B"/>
    <w:rsid w:val="522F08A3"/>
    <w:rsid w:val="52933A77"/>
    <w:rsid w:val="52985654"/>
    <w:rsid w:val="52B458D1"/>
    <w:rsid w:val="52F60FC2"/>
    <w:rsid w:val="539B5781"/>
    <w:rsid w:val="53A20814"/>
    <w:rsid w:val="5453081C"/>
    <w:rsid w:val="545509EE"/>
    <w:rsid w:val="546B65D4"/>
    <w:rsid w:val="54AE5A8C"/>
    <w:rsid w:val="54E54D3D"/>
    <w:rsid w:val="54E5748F"/>
    <w:rsid w:val="54EF0E42"/>
    <w:rsid w:val="557355CF"/>
    <w:rsid w:val="55A90FF1"/>
    <w:rsid w:val="55B55BE8"/>
    <w:rsid w:val="55F61D5C"/>
    <w:rsid w:val="56682C5A"/>
    <w:rsid w:val="568E01E7"/>
    <w:rsid w:val="56B0015D"/>
    <w:rsid w:val="56B20379"/>
    <w:rsid w:val="56FC52AF"/>
    <w:rsid w:val="57145953"/>
    <w:rsid w:val="5765363E"/>
    <w:rsid w:val="5765589C"/>
    <w:rsid w:val="57BE12E1"/>
    <w:rsid w:val="57DD31D4"/>
    <w:rsid w:val="57F77222"/>
    <w:rsid w:val="586C6306"/>
    <w:rsid w:val="587A0EC6"/>
    <w:rsid w:val="5889335C"/>
    <w:rsid w:val="591744C4"/>
    <w:rsid w:val="595B4CF8"/>
    <w:rsid w:val="598002BB"/>
    <w:rsid w:val="59C86EA5"/>
    <w:rsid w:val="5A0507C0"/>
    <w:rsid w:val="5A6A4B79"/>
    <w:rsid w:val="5AF869C4"/>
    <w:rsid w:val="5B0E0212"/>
    <w:rsid w:val="5B150ED7"/>
    <w:rsid w:val="5B347B1F"/>
    <w:rsid w:val="5B42386F"/>
    <w:rsid w:val="5B4F7164"/>
    <w:rsid w:val="5B694D7F"/>
    <w:rsid w:val="5B8A0128"/>
    <w:rsid w:val="5C931B49"/>
    <w:rsid w:val="5CBC3D00"/>
    <w:rsid w:val="5CCD6BA5"/>
    <w:rsid w:val="5CE703A3"/>
    <w:rsid w:val="5D2C3026"/>
    <w:rsid w:val="5D2E44D2"/>
    <w:rsid w:val="5D5C103F"/>
    <w:rsid w:val="5D6B07EC"/>
    <w:rsid w:val="5D7C6FEB"/>
    <w:rsid w:val="5D9B1B67"/>
    <w:rsid w:val="5DB1138B"/>
    <w:rsid w:val="5DB6074F"/>
    <w:rsid w:val="5DF50B4C"/>
    <w:rsid w:val="5E203E1A"/>
    <w:rsid w:val="5E263388"/>
    <w:rsid w:val="5E3D49CC"/>
    <w:rsid w:val="5E652175"/>
    <w:rsid w:val="5EF64B7B"/>
    <w:rsid w:val="5F6843FC"/>
    <w:rsid w:val="5F8D2302"/>
    <w:rsid w:val="5FD44EBD"/>
    <w:rsid w:val="60113DF0"/>
    <w:rsid w:val="60285208"/>
    <w:rsid w:val="602A2D2E"/>
    <w:rsid w:val="606A75CF"/>
    <w:rsid w:val="60A056E7"/>
    <w:rsid w:val="60F021CA"/>
    <w:rsid w:val="61021EFD"/>
    <w:rsid w:val="613A6A65"/>
    <w:rsid w:val="61587A37"/>
    <w:rsid w:val="61730824"/>
    <w:rsid w:val="621B10E3"/>
    <w:rsid w:val="623E1AE1"/>
    <w:rsid w:val="624502F4"/>
    <w:rsid w:val="62747537"/>
    <w:rsid w:val="62B3538E"/>
    <w:rsid w:val="62C76F5B"/>
    <w:rsid w:val="62D33B51"/>
    <w:rsid w:val="62D460A8"/>
    <w:rsid w:val="62E01DCA"/>
    <w:rsid w:val="62EC5DE5"/>
    <w:rsid w:val="63091321"/>
    <w:rsid w:val="632E0D88"/>
    <w:rsid w:val="634E142A"/>
    <w:rsid w:val="644545DB"/>
    <w:rsid w:val="645B5161"/>
    <w:rsid w:val="64630F05"/>
    <w:rsid w:val="64915201"/>
    <w:rsid w:val="64B429EE"/>
    <w:rsid w:val="64CE659A"/>
    <w:rsid w:val="64FD7E41"/>
    <w:rsid w:val="650A5F27"/>
    <w:rsid w:val="65130235"/>
    <w:rsid w:val="652C579B"/>
    <w:rsid w:val="6531690D"/>
    <w:rsid w:val="65817895"/>
    <w:rsid w:val="65E362B1"/>
    <w:rsid w:val="65F74891"/>
    <w:rsid w:val="664769BF"/>
    <w:rsid w:val="668B156B"/>
    <w:rsid w:val="66BC7FA2"/>
    <w:rsid w:val="67010561"/>
    <w:rsid w:val="673C77DB"/>
    <w:rsid w:val="675E6100"/>
    <w:rsid w:val="677B0314"/>
    <w:rsid w:val="67812E29"/>
    <w:rsid w:val="67BF1DE9"/>
    <w:rsid w:val="6873723D"/>
    <w:rsid w:val="689D4368"/>
    <w:rsid w:val="68E57EC2"/>
    <w:rsid w:val="68F14A85"/>
    <w:rsid w:val="68FC2593"/>
    <w:rsid w:val="690B4CB3"/>
    <w:rsid w:val="691B590A"/>
    <w:rsid w:val="69715E72"/>
    <w:rsid w:val="69D837FB"/>
    <w:rsid w:val="6A331379"/>
    <w:rsid w:val="6A3550F2"/>
    <w:rsid w:val="6A7259FE"/>
    <w:rsid w:val="6AAF0A00"/>
    <w:rsid w:val="6B054BBF"/>
    <w:rsid w:val="6B08757A"/>
    <w:rsid w:val="6B885505"/>
    <w:rsid w:val="6BAE515B"/>
    <w:rsid w:val="6C054650"/>
    <w:rsid w:val="6C133210"/>
    <w:rsid w:val="6C1D7BEB"/>
    <w:rsid w:val="6C523D39"/>
    <w:rsid w:val="6CB25212"/>
    <w:rsid w:val="6CBF3B00"/>
    <w:rsid w:val="6CD015D5"/>
    <w:rsid w:val="6CDF2779"/>
    <w:rsid w:val="6CFE7A1D"/>
    <w:rsid w:val="6D323B6A"/>
    <w:rsid w:val="6D566FD0"/>
    <w:rsid w:val="6D725D15"/>
    <w:rsid w:val="6D8048D6"/>
    <w:rsid w:val="6DB97DE8"/>
    <w:rsid w:val="6E225DD7"/>
    <w:rsid w:val="6E4B4EE4"/>
    <w:rsid w:val="6F257D2A"/>
    <w:rsid w:val="6F3E7121"/>
    <w:rsid w:val="6F72024E"/>
    <w:rsid w:val="6F9A108B"/>
    <w:rsid w:val="6FAD572A"/>
    <w:rsid w:val="701B513D"/>
    <w:rsid w:val="70B328CC"/>
    <w:rsid w:val="70B9559C"/>
    <w:rsid w:val="70D7582F"/>
    <w:rsid w:val="70F51845"/>
    <w:rsid w:val="714B3F05"/>
    <w:rsid w:val="71890614"/>
    <w:rsid w:val="71B52674"/>
    <w:rsid w:val="71C75C56"/>
    <w:rsid w:val="71F118FE"/>
    <w:rsid w:val="72031631"/>
    <w:rsid w:val="720D425E"/>
    <w:rsid w:val="72181581"/>
    <w:rsid w:val="726C5429"/>
    <w:rsid w:val="72A365F1"/>
    <w:rsid w:val="72B30FEF"/>
    <w:rsid w:val="72CE714F"/>
    <w:rsid w:val="73075151"/>
    <w:rsid w:val="73140212"/>
    <w:rsid w:val="731C6E4F"/>
    <w:rsid w:val="73C44DF0"/>
    <w:rsid w:val="73D617AE"/>
    <w:rsid w:val="743A3291"/>
    <w:rsid w:val="74942A15"/>
    <w:rsid w:val="749A0DC6"/>
    <w:rsid w:val="74AF48D2"/>
    <w:rsid w:val="75937374"/>
    <w:rsid w:val="763E1F7E"/>
    <w:rsid w:val="76E2215D"/>
    <w:rsid w:val="772507E5"/>
    <w:rsid w:val="77253870"/>
    <w:rsid w:val="77AC1469"/>
    <w:rsid w:val="77C67389"/>
    <w:rsid w:val="77E77FA4"/>
    <w:rsid w:val="781F31A5"/>
    <w:rsid w:val="78DB50B6"/>
    <w:rsid w:val="790068A3"/>
    <w:rsid w:val="79027FE0"/>
    <w:rsid w:val="79570BE0"/>
    <w:rsid w:val="79C45B4A"/>
    <w:rsid w:val="79C913B2"/>
    <w:rsid w:val="7A5E01F1"/>
    <w:rsid w:val="7A8D0632"/>
    <w:rsid w:val="7ABB519F"/>
    <w:rsid w:val="7AEE5010"/>
    <w:rsid w:val="7B105150"/>
    <w:rsid w:val="7B784E3E"/>
    <w:rsid w:val="7C0B69B5"/>
    <w:rsid w:val="7C0E57A2"/>
    <w:rsid w:val="7C6E0CB7"/>
    <w:rsid w:val="7CDD3461"/>
    <w:rsid w:val="7CDF4D92"/>
    <w:rsid w:val="7D2A2168"/>
    <w:rsid w:val="7D821FA4"/>
    <w:rsid w:val="7D94130C"/>
    <w:rsid w:val="7DBF41DB"/>
    <w:rsid w:val="7E365E80"/>
    <w:rsid w:val="7E4251F7"/>
    <w:rsid w:val="7EA45F4A"/>
    <w:rsid w:val="7EC24845"/>
    <w:rsid w:val="7ED71E7C"/>
    <w:rsid w:val="7FD745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56" w:after="156" w:line="360" w:lineRule="auto"/>
      <w:ind w:firstLine="200" w:firstLineChars="200"/>
      <w:jc w:val="both"/>
    </w:pPr>
    <w:rPr>
      <w:rFonts w:ascii="仿宋_GB2312" w:hAnsi="仿宋_GB2312" w:eastAsia="仿宋_GB2312" w:cs="Times New Roman"/>
      <w:kern w:val="2"/>
      <w:sz w:val="28"/>
      <w:szCs w:val="22"/>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qFormat/>
    <w:uiPriority w:val="9"/>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link w:val="30"/>
    <w:qFormat/>
    <w:uiPriority w:val="0"/>
    <w:pPr>
      <w:keepNext/>
      <w:keepLines/>
      <w:spacing w:before="260" w:after="260" w:line="416" w:lineRule="auto"/>
      <w:outlineLvl w:val="2"/>
    </w:pPr>
    <w:rPr>
      <w:b/>
      <w:bCs/>
      <w:sz w:val="32"/>
      <w:szCs w:val="32"/>
    </w:rPr>
  </w:style>
  <w:style w:type="paragraph" w:styleId="5">
    <w:name w:val="heading 4"/>
    <w:basedOn w:val="1"/>
    <w:next w:val="1"/>
    <w:link w:val="31"/>
    <w:qFormat/>
    <w:uiPriority w:val="9"/>
    <w:pPr>
      <w:keepNext/>
      <w:keepLines/>
      <w:spacing w:before="280" w:after="290" w:line="376" w:lineRule="auto"/>
      <w:outlineLvl w:val="3"/>
    </w:pPr>
    <w:rPr>
      <w:rFonts w:ascii="等线 Light" w:hAnsi="等线 Light" w:eastAsia="等线 Light"/>
      <w:b/>
      <w:bCs/>
      <w:szCs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spacing w:before="0" w:after="0" w:line="240" w:lineRule="auto"/>
      <w:ind w:left="2520" w:leftChars="1200" w:firstLine="0" w:firstLineChars="0"/>
    </w:pPr>
    <w:rPr>
      <w:rFonts w:ascii="等线" w:hAnsi="等线" w:eastAsia="等线"/>
      <w:sz w:val="21"/>
    </w:rPr>
  </w:style>
  <w:style w:type="paragraph" w:styleId="7">
    <w:name w:val="annotation text"/>
    <w:basedOn w:val="1"/>
    <w:link w:val="32"/>
    <w:unhideWhenUsed/>
    <w:qFormat/>
    <w:uiPriority w:val="99"/>
    <w:pPr>
      <w:jc w:val="left"/>
    </w:pPr>
  </w:style>
  <w:style w:type="paragraph" w:styleId="8">
    <w:name w:val="toc 5"/>
    <w:basedOn w:val="1"/>
    <w:next w:val="1"/>
    <w:unhideWhenUsed/>
    <w:qFormat/>
    <w:uiPriority w:val="39"/>
    <w:pPr>
      <w:spacing w:before="0" w:after="0" w:line="240" w:lineRule="auto"/>
      <w:ind w:left="1680" w:leftChars="800" w:firstLine="0" w:firstLineChars="0"/>
    </w:pPr>
    <w:rPr>
      <w:rFonts w:ascii="等线" w:hAnsi="等线" w:eastAsia="等线"/>
      <w:sz w:val="21"/>
    </w:rPr>
  </w:style>
  <w:style w:type="paragraph" w:styleId="9">
    <w:name w:val="toc 3"/>
    <w:basedOn w:val="1"/>
    <w:next w:val="1"/>
    <w:unhideWhenUsed/>
    <w:qFormat/>
    <w:uiPriority w:val="39"/>
    <w:pPr>
      <w:ind w:left="840" w:leftChars="400"/>
    </w:pPr>
  </w:style>
  <w:style w:type="paragraph" w:styleId="10">
    <w:name w:val="toc 8"/>
    <w:basedOn w:val="1"/>
    <w:next w:val="1"/>
    <w:unhideWhenUsed/>
    <w:qFormat/>
    <w:uiPriority w:val="39"/>
    <w:pPr>
      <w:spacing w:before="0" w:after="0" w:line="240" w:lineRule="auto"/>
      <w:ind w:left="2940" w:leftChars="1400" w:firstLine="0" w:firstLineChars="0"/>
    </w:pPr>
    <w:rPr>
      <w:rFonts w:ascii="等线" w:hAnsi="等线" w:eastAsia="等线"/>
      <w:sz w:val="21"/>
    </w:rPr>
  </w:style>
  <w:style w:type="paragraph" w:styleId="11">
    <w:name w:val="Balloon Text"/>
    <w:basedOn w:val="1"/>
    <w:link w:val="33"/>
    <w:unhideWhenUsed/>
    <w:qFormat/>
    <w:uiPriority w:val="99"/>
    <w:pPr>
      <w:spacing w:before="0" w:after="0" w:line="240" w:lineRule="auto"/>
    </w:pPr>
    <w:rPr>
      <w:sz w:val="18"/>
      <w:szCs w:val="18"/>
    </w:rPr>
  </w:style>
  <w:style w:type="paragraph" w:styleId="12">
    <w:name w:val="footer"/>
    <w:basedOn w:val="1"/>
    <w:link w:val="34"/>
    <w:unhideWhenUsed/>
    <w:qFormat/>
    <w:uiPriority w:val="99"/>
    <w:pPr>
      <w:tabs>
        <w:tab w:val="center" w:pos="4153"/>
        <w:tab w:val="right" w:pos="8306"/>
      </w:tabs>
      <w:snapToGrid w:val="0"/>
      <w:jc w:val="left"/>
    </w:pPr>
    <w:rPr>
      <w:sz w:val="18"/>
      <w:szCs w:val="18"/>
    </w:rPr>
  </w:style>
  <w:style w:type="paragraph" w:styleId="13">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tabs>
        <w:tab w:val="right" w:leader="dot" w:pos="8296"/>
      </w:tabs>
      <w:spacing w:line="240" w:lineRule="exact"/>
      <w:ind w:firstLine="482"/>
    </w:pPr>
    <w:rPr>
      <w:rFonts w:hAnsi="黑体"/>
      <w:b/>
      <w:bCs/>
      <w:kern w:val="44"/>
      <w:sz w:val="24"/>
      <w:szCs w:val="21"/>
    </w:rPr>
  </w:style>
  <w:style w:type="paragraph" w:styleId="15">
    <w:name w:val="toc 4"/>
    <w:basedOn w:val="1"/>
    <w:next w:val="1"/>
    <w:unhideWhenUsed/>
    <w:qFormat/>
    <w:uiPriority w:val="39"/>
    <w:pPr>
      <w:spacing w:before="0" w:after="0" w:line="240" w:lineRule="auto"/>
      <w:ind w:left="1260" w:leftChars="600" w:firstLine="0" w:firstLineChars="0"/>
    </w:pPr>
    <w:rPr>
      <w:rFonts w:ascii="等线" w:hAnsi="等线" w:eastAsia="等线"/>
      <w:sz w:val="21"/>
    </w:rPr>
  </w:style>
  <w:style w:type="paragraph" w:styleId="16">
    <w:name w:val="toc 6"/>
    <w:basedOn w:val="1"/>
    <w:next w:val="1"/>
    <w:unhideWhenUsed/>
    <w:qFormat/>
    <w:uiPriority w:val="39"/>
    <w:pPr>
      <w:spacing w:before="0" w:after="0" w:line="240" w:lineRule="auto"/>
      <w:ind w:left="2100" w:leftChars="1000" w:firstLine="0" w:firstLineChars="0"/>
    </w:pPr>
    <w:rPr>
      <w:rFonts w:ascii="等线" w:hAnsi="等线" w:eastAsia="等线"/>
      <w:sz w:val="21"/>
    </w:rPr>
  </w:style>
  <w:style w:type="paragraph" w:styleId="17">
    <w:name w:val="toc 2"/>
    <w:basedOn w:val="1"/>
    <w:next w:val="1"/>
    <w:unhideWhenUsed/>
    <w:qFormat/>
    <w:uiPriority w:val="39"/>
    <w:pPr>
      <w:tabs>
        <w:tab w:val="right" w:leader="dot" w:pos="8296"/>
      </w:tabs>
      <w:spacing w:line="240" w:lineRule="exact"/>
      <w:ind w:left="560" w:leftChars="200" w:firstLine="480"/>
    </w:pPr>
    <w:rPr>
      <w:rFonts w:hAnsi="黑体" w:cs="仿宋"/>
      <w:sz w:val="24"/>
      <w:szCs w:val="21"/>
    </w:rPr>
  </w:style>
  <w:style w:type="paragraph" w:styleId="18">
    <w:name w:val="toc 9"/>
    <w:basedOn w:val="1"/>
    <w:next w:val="1"/>
    <w:unhideWhenUsed/>
    <w:qFormat/>
    <w:uiPriority w:val="39"/>
    <w:pPr>
      <w:spacing w:before="0" w:after="0" w:line="240" w:lineRule="auto"/>
      <w:ind w:left="3360" w:leftChars="1600" w:firstLine="0" w:firstLineChars="0"/>
    </w:pPr>
    <w:rPr>
      <w:rFonts w:ascii="等线" w:hAnsi="等线" w:eastAsia="等线"/>
      <w:sz w:val="21"/>
    </w:rPr>
  </w:style>
  <w:style w:type="paragraph" w:styleId="19">
    <w:name w:val="Normal (Web)"/>
    <w:basedOn w:val="1"/>
    <w:semiHidden/>
    <w:unhideWhenUsed/>
    <w:qFormat/>
    <w:uiPriority w:val="99"/>
    <w:pPr>
      <w:spacing w:before="0" w:beforeAutospacing="1" w:after="0" w:afterAutospacing="1"/>
      <w:jc w:val="left"/>
    </w:pPr>
    <w:rPr>
      <w:kern w:val="0"/>
      <w:sz w:val="24"/>
    </w:rPr>
  </w:style>
  <w:style w:type="paragraph" w:styleId="20">
    <w:name w:val="annotation subject"/>
    <w:basedOn w:val="7"/>
    <w:next w:val="7"/>
    <w:link w:val="40"/>
    <w:semiHidden/>
    <w:unhideWhenUsed/>
    <w:qFormat/>
    <w:uiPriority w:val="99"/>
    <w:rPr>
      <w:b/>
      <w:bCs/>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bCs/>
    </w:rPr>
  </w:style>
  <w:style w:type="character" w:styleId="25">
    <w:name w:val="Emphasis"/>
    <w:basedOn w:val="23"/>
    <w:qFormat/>
    <w:uiPriority w:val="20"/>
    <w:rPr>
      <w:i/>
      <w:iCs/>
    </w:rPr>
  </w:style>
  <w:style w:type="character" w:styleId="26">
    <w:name w:val="Hyperlink"/>
    <w:unhideWhenUsed/>
    <w:qFormat/>
    <w:uiPriority w:val="99"/>
    <w:rPr>
      <w:color w:val="0563C1"/>
      <w:u w:val="single"/>
    </w:rPr>
  </w:style>
  <w:style w:type="character" w:styleId="27">
    <w:name w:val="annotation reference"/>
    <w:unhideWhenUsed/>
    <w:qFormat/>
    <w:uiPriority w:val="99"/>
    <w:rPr>
      <w:sz w:val="21"/>
      <w:szCs w:val="21"/>
    </w:rPr>
  </w:style>
  <w:style w:type="character" w:customStyle="1" w:styleId="28">
    <w:name w:val="标题 1 字符"/>
    <w:link w:val="2"/>
    <w:qFormat/>
    <w:uiPriority w:val="9"/>
    <w:rPr>
      <w:rFonts w:ascii="仿宋_GB2312" w:hAnsi="仿宋_GB2312" w:eastAsia="仿宋_GB2312"/>
      <w:b/>
      <w:bCs/>
      <w:kern w:val="44"/>
      <w:sz w:val="44"/>
      <w:szCs w:val="44"/>
    </w:rPr>
  </w:style>
  <w:style w:type="character" w:customStyle="1" w:styleId="29">
    <w:name w:val="标题 2 字符"/>
    <w:link w:val="3"/>
    <w:qFormat/>
    <w:uiPriority w:val="9"/>
    <w:rPr>
      <w:rFonts w:ascii="等线 Light" w:hAnsi="等线 Light" w:eastAsia="等线 Light" w:cs="Times New Roman"/>
      <w:b/>
      <w:bCs/>
      <w:sz w:val="32"/>
      <w:szCs w:val="32"/>
    </w:rPr>
  </w:style>
  <w:style w:type="character" w:customStyle="1" w:styleId="30">
    <w:name w:val="标题 3 字符"/>
    <w:link w:val="4"/>
    <w:qFormat/>
    <w:uiPriority w:val="0"/>
    <w:rPr>
      <w:rFonts w:ascii="仿宋_GB2312" w:hAnsi="仿宋_GB2312" w:eastAsia="仿宋_GB2312"/>
      <w:b/>
      <w:bCs/>
      <w:sz w:val="32"/>
      <w:szCs w:val="32"/>
    </w:rPr>
  </w:style>
  <w:style w:type="character" w:customStyle="1" w:styleId="31">
    <w:name w:val="标题 4 字符"/>
    <w:link w:val="5"/>
    <w:qFormat/>
    <w:uiPriority w:val="9"/>
    <w:rPr>
      <w:rFonts w:ascii="等线 Light" w:hAnsi="等线 Light" w:eastAsia="等线 Light" w:cs="Times New Roman"/>
      <w:b/>
      <w:bCs/>
      <w:sz w:val="28"/>
      <w:szCs w:val="28"/>
    </w:rPr>
  </w:style>
  <w:style w:type="character" w:customStyle="1" w:styleId="32">
    <w:name w:val="批注文字 字符"/>
    <w:link w:val="7"/>
    <w:semiHidden/>
    <w:qFormat/>
    <w:uiPriority w:val="99"/>
    <w:rPr>
      <w:rFonts w:ascii="仿宋_GB2312" w:hAnsi="仿宋_GB2312" w:eastAsia="仿宋_GB2312"/>
      <w:sz w:val="28"/>
    </w:rPr>
  </w:style>
  <w:style w:type="character" w:customStyle="1" w:styleId="33">
    <w:name w:val="批注框文本 字符"/>
    <w:link w:val="11"/>
    <w:semiHidden/>
    <w:qFormat/>
    <w:uiPriority w:val="99"/>
    <w:rPr>
      <w:rFonts w:ascii="仿宋_GB2312" w:hAnsi="仿宋_GB2312" w:eastAsia="仿宋_GB2312"/>
      <w:kern w:val="2"/>
      <w:sz w:val="18"/>
      <w:szCs w:val="18"/>
    </w:rPr>
  </w:style>
  <w:style w:type="character" w:customStyle="1" w:styleId="34">
    <w:name w:val="页脚 字符"/>
    <w:link w:val="12"/>
    <w:qFormat/>
    <w:uiPriority w:val="99"/>
    <w:rPr>
      <w:sz w:val="18"/>
      <w:szCs w:val="18"/>
    </w:rPr>
  </w:style>
  <w:style w:type="character" w:customStyle="1" w:styleId="35">
    <w:name w:val="页眉 字符"/>
    <w:link w:val="13"/>
    <w:qFormat/>
    <w:uiPriority w:val="99"/>
    <w:rPr>
      <w:sz w:val="18"/>
      <w:szCs w:val="18"/>
    </w:rPr>
  </w:style>
  <w:style w:type="paragraph" w:styleId="36">
    <w:name w:val="List Paragraph"/>
    <w:basedOn w:val="1"/>
    <w:qFormat/>
    <w:uiPriority w:val="34"/>
    <w:pPr>
      <w:ind w:firstLine="420"/>
    </w:pPr>
  </w:style>
  <w:style w:type="paragraph" w:customStyle="1" w:styleId="37">
    <w:name w:val="TOC 标题1"/>
    <w:basedOn w:val="2"/>
    <w:next w:val="1"/>
    <w:unhideWhenUsed/>
    <w:qFormat/>
    <w:uiPriority w:val="39"/>
    <w:pPr>
      <w:widowControl/>
      <w:spacing w:before="240" w:after="0" w:line="259" w:lineRule="auto"/>
      <w:ind w:firstLine="0" w:firstLineChars="0"/>
      <w:jc w:val="left"/>
      <w:outlineLvl w:val="9"/>
    </w:pPr>
    <w:rPr>
      <w:rFonts w:ascii="等线 Light" w:hAnsi="等线 Light" w:eastAsia="等线 Light"/>
      <w:b w:val="0"/>
      <w:bCs w:val="0"/>
      <w:color w:val="2F5496"/>
      <w:kern w:val="0"/>
      <w:sz w:val="32"/>
      <w:szCs w:val="32"/>
    </w:rPr>
  </w:style>
  <w:style w:type="character" w:customStyle="1" w:styleId="38">
    <w:name w:val="_Style 32"/>
    <w:semiHidden/>
    <w:unhideWhenUsed/>
    <w:qFormat/>
    <w:uiPriority w:val="99"/>
    <w:rPr>
      <w:color w:val="605E5C"/>
      <w:shd w:val="clear" w:color="auto" w:fill="E1DFDD"/>
    </w:rPr>
  </w:style>
  <w:style w:type="character" w:customStyle="1" w:styleId="39">
    <w:name w:val="fontstyle01"/>
    <w:qFormat/>
    <w:uiPriority w:val="0"/>
    <w:rPr>
      <w:rFonts w:hint="eastAsia" w:ascii="仿宋_GB2312" w:eastAsia="仿宋_GB2312"/>
      <w:color w:val="000000"/>
      <w:sz w:val="32"/>
      <w:szCs w:val="32"/>
    </w:rPr>
  </w:style>
  <w:style w:type="character" w:customStyle="1" w:styleId="40">
    <w:name w:val="批注主题 字符"/>
    <w:basedOn w:val="32"/>
    <w:link w:val="20"/>
    <w:semiHidden/>
    <w:qFormat/>
    <w:uiPriority w:val="99"/>
    <w:rPr>
      <w:rFonts w:ascii="仿宋_GB2312" w:hAnsi="仿宋_GB2312" w:eastAsia="仿宋_GB2312"/>
      <w:b/>
      <w:bCs/>
      <w:kern w:val="2"/>
      <w:sz w:val="28"/>
      <w:szCs w:val="22"/>
    </w:rPr>
  </w:style>
  <w:style w:type="character" w:customStyle="1" w:styleId="41">
    <w:name w:val="未处理的提及1"/>
    <w:basedOn w:val="23"/>
    <w:semiHidden/>
    <w:unhideWhenUsed/>
    <w:qFormat/>
    <w:uiPriority w:val="99"/>
    <w:rPr>
      <w:color w:val="605E5C"/>
      <w:shd w:val="clear" w:color="auto" w:fill="E1DFDD"/>
    </w:rPr>
  </w:style>
  <w:style w:type="paragraph" w:customStyle="1" w:styleId="42">
    <w:name w:val="修订1"/>
    <w:hidden/>
    <w:semiHidden/>
    <w:qFormat/>
    <w:uiPriority w:val="99"/>
    <w:rPr>
      <w:rFonts w:ascii="仿宋_GB2312" w:hAnsi="仿宋_GB2312" w:eastAsia="仿宋_GB2312" w:cs="Times New Roman"/>
      <w:kern w:val="2"/>
      <w:sz w:val="28"/>
      <w:szCs w:val="22"/>
      <w:lang w:val="en-US" w:eastAsia="zh-CN" w:bidi="ar-SA"/>
    </w:rPr>
  </w:style>
  <w:style w:type="character" w:customStyle="1" w:styleId="43">
    <w:name w:val="未处理的提及2"/>
    <w:basedOn w:val="23"/>
    <w:semiHidden/>
    <w:unhideWhenUsed/>
    <w:qFormat/>
    <w:uiPriority w:val="99"/>
    <w:rPr>
      <w:color w:val="605E5C"/>
      <w:shd w:val="clear" w:color="auto" w:fill="E1DFDD"/>
    </w:rPr>
  </w:style>
  <w:style w:type="paragraph" w:customStyle="1" w:styleId="44">
    <w:name w:val="Revision"/>
    <w:hidden/>
    <w:semiHidden/>
    <w:qFormat/>
    <w:uiPriority w:val="99"/>
    <w:rPr>
      <w:rFonts w:ascii="仿宋_GB2312" w:hAnsi="仿宋_GB2312" w:eastAsia="仿宋_GB2312" w:cs="Times New Roman"/>
      <w:kern w:val="2"/>
      <w:sz w:val="28"/>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jpeg"/><Relationship Id="rId21" Type="http://schemas.openxmlformats.org/officeDocument/2006/relationships/image" Target="media/image7.jpe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81</Pages>
  <Words>52</Words>
  <Characters>68</Characters>
  <Lines>1409</Lines>
  <Paragraphs>1044</Paragraphs>
  <TotalTime>662</TotalTime>
  <ScaleCrop>false</ScaleCrop>
  <LinksUpToDate>false</LinksUpToDate>
  <CharactersWithSpaces>68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2023-04-19T08:31:00Z</dcterms:created>
  <dc:creator>哈哈 钟</dc:creator>
  <cp:lastModifiedBy>黄海涛</cp:lastModifiedBy>
  <cp:lastPrinted>2023-03-15T06:21:00Z</cp:lastPrinted>
  <dcterms:modified xsi:type="dcterms:W3CDTF">2026-06-11T06:23:06Z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48E35C85BCE64804878D1BFD6A8230F6</vt:lpwstr>
  </property>
  <property fmtid="{D5CDD505-2E9C-101B-9397-08002B2CF9AE}" pid="4" name="KSOTemplateDocerSaveRecord">
    <vt:lpwstr>eyJoZGlkIjoiYTliNGZhOWM3ZDBjYzFmZTJiY2VlODM4YTdiNzZhNWMiLCJ1c2VySWQiOiIyNTMwOTc3MjAifQ==</vt:lpwstr>
  </property>
</Properties>
</file>